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DAA06" w14:textId="77777777" w:rsidR="001A71A3" w:rsidRPr="006262F5" w:rsidRDefault="001A71A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72B0993E" w14:textId="77777777" w:rsidR="001A71A3" w:rsidRPr="006262F5" w:rsidRDefault="008F01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262F5">
        <w:rPr>
          <w:rFonts w:ascii="Times New Roman" w:hAnsi="Times New Roman"/>
          <w:b/>
          <w:sz w:val="32"/>
          <w:szCs w:val="32"/>
        </w:rPr>
        <w:t>ANÁLISE CRÍTICA DA PESQUISA DE PREÇOS</w:t>
      </w:r>
    </w:p>
    <w:p w14:paraId="7BF3E365" w14:textId="77777777" w:rsidR="001A71A3" w:rsidRPr="006262F5" w:rsidRDefault="001A71A3" w:rsidP="004D618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58E2AED" w14:textId="77777777" w:rsidR="00D962EE" w:rsidRPr="006262F5" w:rsidRDefault="008F0158" w:rsidP="004D61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62F5">
        <w:rPr>
          <w:rFonts w:ascii="Times New Roman" w:hAnsi="Times New Roman"/>
          <w:b/>
          <w:sz w:val="24"/>
          <w:szCs w:val="24"/>
        </w:rPr>
        <w:t xml:space="preserve">I. Descrição do objeto a ser contratado: </w:t>
      </w:r>
    </w:p>
    <w:p w14:paraId="5DBBCCA1" w14:textId="6D2B791D" w:rsidR="001A71A3" w:rsidRPr="006262F5" w:rsidRDefault="00D962EE" w:rsidP="004D61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62F5">
        <w:rPr>
          <w:rFonts w:ascii="Times New Roman" w:hAnsi="Times New Roman"/>
          <w:sz w:val="24"/>
          <w:szCs w:val="24"/>
        </w:rPr>
        <w:t xml:space="preserve">Contratação de empresa especializada para construção de 50 (cinquenta) unidades habitacionais, </w:t>
      </w:r>
      <w:bookmarkStart w:id="0" w:name="_Hlk216769396"/>
      <w:r w:rsidRPr="006262F5">
        <w:rPr>
          <w:rFonts w:ascii="Times New Roman" w:hAnsi="Times New Roman"/>
          <w:sz w:val="24"/>
          <w:szCs w:val="24"/>
        </w:rPr>
        <w:t>do programa Minha Casa Minha Vida (FNHIS SUB 50)</w:t>
      </w:r>
      <w:bookmarkEnd w:id="0"/>
      <w:r w:rsidRPr="006262F5">
        <w:rPr>
          <w:rFonts w:ascii="Times New Roman" w:hAnsi="Times New Roman"/>
          <w:sz w:val="24"/>
          <w:szCs w:val="24"/>
        </w:rPr>
        <w:t xml:space="preserve">, que serão construídas nos Bairros: Loteamento Castanho, Loteamento Tonico Matheus, Avenida Francisco Ferreira, Conj. Habitacional Mário Sergio Messias, Loteamento Zequinha Resende, Loteamento Domingos </w:t>
      </w:r>
      <w:proofErr w:type="spellStart"/>
      <w:r w:rsidRPr="006262F5">
        <w:rPr>
          <w:rFonts w:ascii="Times New Roman" w:hAnsi="Times New Roman"/>
          <w:sz w:val="24"/>
          <w:szCs w:val="24"/>
        </w:rPr>
        <w:t>Zambon</w:t>
      </w:r>
      <w:proofErr w:type="spellEnd"/>
      <w:r w:rsidRPr="006262F5">
        <w:rPr>
          <w:rFonts w:ascii="Times New Roman" w:hAnsi="Times New Roman"/>
          <w:sz w:val="24"/>
          <w:szCs w:val="24"/>
        </w:rPr>
        <w:t xml:space="preserve">, para atender famílias de baixa renda enquadradas nas diretrizes do Programa MCMV. Convênio 974635/2025/MCIDADES/CAIXA (Operação nº 1100487-82), com prazo de execução de obra em 18 meses, conforme projetos, orçamento, memorial e cronogramas; bem como especificações constantes no Edital e neste Termo de Referência.  </w:t>
      </w:r>
    </w:p>
    <w:p w14:paraId="5028DE9D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8A6240B" w14:textId="77777777" w:rsidR="001A71A3" w:rsidRPr="006262F5" w:rsidRDefault="008F0158" w:rsidP="004D6187">
      <w:pPr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b/>
          <w:sz w:val="24"/>
          <w:szCs w:val="24"/>
        </w:rPr>
        <w:t>II. Identificação dos agentes responsáveis pela pesquisa ou, se for o caso, da equipe de planejamento:</w:t>
      </w:r>
    </w:p>
    <w:p w14:paraId="68C16E85" w14:textId="320E40D2" w:rsidR="001A71A3" w:rsidRPr="006262F5" w:rsidRDefault="00D962EE" w:rsidP="004D6187">
      <w:pPr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sz w:val="24"/>
          <w:szCs w:val="24"/>
        </w:rPr>
        <w:t>Wagner Toma</w:t>
      </w:r>
      <w:r w:rsidR="008F0158" w:rsidRPr="006262F5">
        <w:rPr>
          <w:rFonts w:ascii="Times New Roman" w:hAnsi="Times New Roman"/>
          <w:sz w:val="24"/>
          <w:szCs w:val="24"/>
        </w:rPr>
        <w:t xml:space="preserve"> – </w:t>
      </w:r>
      <w:r w:rsidRPr="006262F5">
        <w:rPr>
          <w:rFonts w:ascii="Times New Roman" w:hAnsi="Times New Roman"/>
          <w:sz w:val="24"/>
          <w:szCs w:val="24"/>
        </w:rPr>
        <w:t>Secretário Municipal de Política Habitacional</w:t>
      </w:r>
      <w:r w:rsidR="008F0158" w:rsidRPr="006262F5">
        <w:rPr>
          <w:rFonts w:ascii="Times New Roman" w:hAnsi="Times New Roman"/>
          <w:sz w:val="24"/>
          <w:szCs w:val="24"/>
        </w:rPr>
        <w:t>.</w:t>
      </w:r>
    </w:p>
    <w:p w14:paraId="5FB9CAD1" w14:textId="77777777" w:rsidR="001A71A3" w:rsidRPr="006262F5" w:rsidRDefault="001A71A3" w:rsidP="004D6187">
      <w:pPr>
        <w:spacing w:after="0"/>
        <w:jc w:val="both"/>
        <w:rPr>
          <w:rFonts w:ascii="Times New Roman" w:hAnsi="Times New Roman"/>
        </w:rPr>
      </w:pPr>
    </w:p>
    <w:p w14:paraId="75A6A058" w14:textId="77777777" w:rsidR="001A71A3" w:rsidRPr="006262F5" w:rsidRDefault="008F0158" w:rsidP="004D6187">
      <w:pPr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b/>
          <w:sz w:val="24"/>
          <w:szCs w:val="24"/>
        </w:rPr>
        <w:t>III. Caracterização das fontes consultadas:</w:t>
      </w:r>
    </w:p>
    <w:p w14:paraId="146249CE" w14:textId="7E9C926A" w:rsidR="001A71A3" w:rsidRPr="006262F5" w:rsidRDefault="008F0158" w:rsidP="004D6187">
      <w:pPr>
        <w:pStyle w:val="Corpodetexto"/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sz w:val="24"/>
          <w:szCs w:val="24"/>
        </w:rPr>
        <w:t xml:space="preserve">Foram realizadas pesquisas no </w:t>
      </w:r>
      <w:r w:rsidRPr="006262F5">
        <w:rPr>
          <w:rStyle w:val="Forte"/>
          <w:rFonts w:ascii="Times New Roman" w:hAnsi="Times New Roman"/>
          <w:sz w:val="24"/>
          <w:szCs w:val="24"/>
        </w:rPr>
        <w:t>PNCP</w:t>
      </w:r>
      <w:r w:rsidRPr="006262F5">
        <w:rPr>
          <w:rFonts w:ascii="Times New Roman" w:hAnsi="Times New Roman"/>
          <w:sz w:val="24"/>
          <w:szCs w:val="24"/>
        </w:rPr>
        <w:t xml:space="preserve"> para identificar processos de </w:t>
      </w:r>
      <w:r w:rsidR="00D962EE" w:rsidRPr="006262F5">
        <w:rPr>
          <w:rFonts w:ascii="Times New Roman" w:hAnsi="Times New Roman"/>
          <w:sz w:val="24"/>
          <w:szCs w:val="24"/>
        </w:rPr>
        <w:t>obras do programa Minha Casa Minha Vida (FNHIS SUB 50)</w:t>
      </w:r>
      <w:r w:rsidRPr="006262F5">
        <w:rPr>
          <w:rFonts w:ascii="Times New Roman" w:hAnsi="Times New Roman"/>
          <w:sz w:val="24"/>
          <w:szCs w:val="24"/>
        </w:rPr>
        <w:t xml:space="preserve"> com características semelhantes às demandadas.</w:t>
      </w:r>
    </w:p>
    <w:p w14:paraId="19B624CD" w14:textId="77777777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Fonts w:ascii="Times New Roman" w:hAnsi="Times New Roman"/>
          <w:sz w:val="24"/>
          <w:szCs w:val="24"/>
        </w:rPr>
        <w:t xml:space="preserve">Para a composição desta pesquisa foram adotados os parâmetros indicados abaixo, de forma combinada, em conformidade com o que está previsto no caput do </w:t>
      </w:r>
      <w:r w:rsidRPr="006262F5">
        <w:rPr>
          <w:rStyle w:val="Forte"/>
          <w:rFonts w:ascii="Times New Roman" w:hAnsi="Times New Roman"/>
          <w:sz w:val="24"/>
          <w:szCs w:val="24"/>
        </w:rPr>
        <w:t>artigo 368 do Decreto Municipal nº 3.537/2023</w:t>
      </w:r>
      <w:r w:rsidRPr="006262F5">
        <w:rPr>
          <w:rFonts w:ascii="Times New Roman" w:hAnsi="Times New Roman"/>
          <w:sz w:val="24"/>
          <w:szCs w:val="24"/>
        </w:rPr>
        <w:t>:</w:t>
      </w:r>
    </w:p>
    <w:p w14:paraId="7BAE9274" w14:textId="77777777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1º Painel de Preços e Portal Nacional de Contratações Públicas (PNCP):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1275"/>
        <w:gridCol w:w="1985"/>
        <w:gridCol w:w="1417"/>
        <w:gridCol w:w="1411"/>
      </w:tblGrid>
      <w:tr w:rsidR="00DC69DB" w:rsidRPr="00DC69DB" w14:paraId="12916EC1" w14:textId="77777777" w:rsidTr="007E25D7">
        <w:trPr>
          <w:tblHeader/>
          <w:tblCellSpacing w:w="15" w:type="dxa"/>
        </w:trPr>
        <w:tc>
          <w:tcPr>
            <w:tcW w:w="2077" w:type="dxa"/>
            <w:vAlign w:val="center"/>
            <w:hideMark/>
          </w:tcPr>
          <w:p w14:paraId="795A2ED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Município</w:t>
            </w:r>
          </w:p>
        </w:tc>
        <w:tc>
          <w:tcPr>
            <w:tcW w:w="1104" w:type="dxa"/>
            <w:vAlign w:val="center"/>
            <w:hideMark/>
          </w:tcPr>
          <w:p w14:paraId="13C2D242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Edital /</w:t>
            </w:r>
          </w:p>
          <w:p w14:paraId="3408E8A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Modalidade</w:t>
            </w:r>
          </w:p>
        </w:tc>
        <w:tc>
          <w:tcPr>
            <w:tcW w:w="1245" w:type="dxa"/>
            <w:vAlign w:val="center"/>
            <w:hideMark/>
          </w:tcPr>
          <w:p w14:paraId="54D1E46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 xml:space="preserve">Data </w:t>
            </w:r>
          </w:p>
          <w:p w14:paraId="1333EA7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da</w:t>
            </w:r>
          </w:p>
          <w:p w14:paraId="49B6565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Publicação</w:t>
            </w:r>
          </w:p>
        </w:tc>
        <w:tc>
          <w:tcPr>
            <w:tcW w:w="1955" w:type="dxa"/>
            <w:vAlign w:val="center"/>
            <w:hideMark/>
          </w:tcPr>
          <w:p w14:paraId="731ACDD2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Objeto</w:t>
            </w:r>
          </w:p>
        </w:tc>
        <w:tc>
          <w:tcPr>
            <w:tcW w:w="1387" w:type="dxa"/>
            <w:vAlign w:val="center"/>
            <w:hideMark/>
          </w:tcPr>
          <w:p w14:paraId="6656F469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Valor</w:t>
            </w:r>
          </w:p>
          <w:p w14:paraId="30EB5B8D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Unitário (R$)</w:t>
            </w:r>
          </w:p>
        </w:tc>
        <w:tc>
          <w:tcPr>
            <w:tcW w:w="1366" w:type="dxa"/>
            <w:vAlign w:val="center"/>
            <w:hideMark/>
          </w:tcPr>
          <w:p w14:paraId="5024104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C69DB">
              <w:rPr>
                <w:rFonts w:ascii="Times New Roman" w:hAnsi="Times New Roman"/>
                <w:b/>
                <w:bCs/>
              </w:rPr>
              <w:t>Observações</w:t>
            </w:r>
          </w:p>
        </w:tc>
      </w:tr>
      <w:tr w:rsidR="00DC69DB" w:rsidRPr="00DC69DB" w14:paraId="101785CF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7052985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MUINICIPIO DE GUAÍRA - PR</w:t>
            </w:r>
          </w:p>
        </w:tc>
        <w:tc>
          <w:tcPr>
            <w:tcW w:w="1104" w:type="dxa"/>
            <w:vAlign w:val="center"/>
          </w:tcPr>
          <w:p w14:paraId="2BABEEBE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</w:t>
            </w:r>
          </w:p>
        </w:tc>
        <w:tc>
          <w:tcPr>
            <w:tcW w:w="1245" w:type="dxa"/>
            <w:vAlign w:val="center"/>
          </w:tcPr>
          <w:p w14:paraId="7DF2C97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04/11/2025</w:t>
            </w:r>
          </w:p>
        </w:tc>
        <w:tc>
          <w:tcPr>
            <w:tcW w:w="1955" w:type="dxa"/>
            <w:vAlign w:val="center"/>
          </w:tcPr>
          <w:p w14:paraId="662796E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CONSTRUÇÃO DE HABITAÇÃO DE INTERESSE SOCIAL - HIS - PADRÃO POPULAR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25 UNIDADES</w:t>
            </w:r>
          </w:p>
        </w:tc>
        <w:tc>
          <w:tcPr>
            <w:tcW w:w="1387" w:type="dxa"/>
            <w:vAlign w:val="center"/>
          </w:tcPr>
          <w:p w14:paraId="17D5BAA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3.893.503,90</w:t>
            </w:r>
          </w:p>
          <w:p w14:paraId="7D671147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Em Edital de Licitação</w:t>
            </w:r>
          </w:p>
          <w:p w14:paraId="760EC4D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A2ED56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6" w:type="dxa"/>
            <w:vAlign w:val="center"/>
          </w:tcPr>
          <w:p w14:paraId="1877C5C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77857183000190-1-000334/2025</w:t>
            </w:r>
          </w:p>
          <w:p w14:paraId="45EA117E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ADF833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69DB" w:rsidRPr="00DC69DB" w14:paraId="3BA84D23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71752266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MUNICÍPIO DE SANTO ANTÔNIO DA PLATINA</w:t>
            </w:r>
          </w:p>
        </w:tc>
        <w:tc>
          <w:tcPr>
            <w:tcW w:w="1104" w:type="dxa"/>
            <w:vAlign w:val="center"/>
          </w:tcPr>
          <w:p w14:paraId="35B598D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</w:t>
            </w:r>
          </w:p>
        </w:tc>
        <w:tc>
          <w:tcPr>
            <w:tcW w:w="1245" w:type="dxa"/>
            <w:vAlign w:val="center"/>
          </w:tcPr>
          <w:p w14:paraId="12B55EA1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25/11/2025</w:t>
            </w:r>
          </w:p>
        </w:tc>
        <w:tc>
          <w:tcPr>
            <w:tcW w:w="1955" w:type="dxa"/>
            <w:vAlign w:val="center"/>
          </w:tcPr>
          <w:p w14:paraId="52FBF6E4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Contratação de empresa especializada para construção de</w:t>
            </w:r>
          </w:p>
          <w:p w14:paraId="273B6FB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50 (cinquenta) moradias, do programa Minha Casa Minha Vida (FNHIS SUB 50), que serão construídas no</w:t>
            </w:r>
          </w:p>
          <w:p w14:paraId="2E39354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Loteamento Chácara Santa Maria, Bairro </w:t>
            </w:r>
            <w:r w:rsidRPr="00DC69DB">
              <w:rPr>
                <w:rFonts w:ascii="Times New Roman" w:hAnsi="Times New Roman"/>
                <w:sz w:val="20"/>
                <w:szCs w:val="20"/>
              </w:rPr>
              <w:lastRenderedPageBreak/>
              <w:t>João Furtado dos Santos II, para atender famílias de baixa renda</w:t>
            </w:r>
          </w:p>
          <w:p w14:paraId="63BE3D1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enquadradas nas diretrizes do Programa MCMV. Convênio 974651/2024/MCIDADES/CAIXA, com prazo de</w:t>
            </w:r>
          </w:p>
          <w:p w14:paraId="143B4439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execução de 12 (doze) meses, conforme projetos, orçamento, memorial e cronogramas, bem como demais exigências</w:t>
            </w:r>
          </w:p>
          <w:p w14:paraId="40B50B82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estabelecidas no Termo de Referência e seus anexos.</w:t>
            </w:r>
          </w:p>
        </w:tc>
        <w:tc>
          <w:tcPr>
            <w:tcW w:w="1387" w:type="dxa"/>
            <w:vAlign w:val="center"/>
          </w:tcPr>
          <w:p w14:paraId="7C875B0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69DB">
              <w:rPr>
                <w:rFonts w:ascii="Times New Roman" w:hAnsi="Times New Roman"/>
                <w:sz w:val="18"/>
                <w:szCs w:val="18"/>
              </w:rPr>
              <w:lastRenderedPageBreak/>
              <w:t>8.393.875,38</w:t>
            </w:r>
          </w:p>
          <w:p w14:paraId="6FBC35D1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18"/>
                <w:szCs w:val="18"/>
              </w:rPr>
              <w:t xml:space="preserve">Em EDITAL DE LICITAÇÃO </w:t>
            </w:r>
          </w:p>
        </w:tc>
        <w:tc>
          <w:tcPr>
            <w:tcW w:w="1366" w:type="dxa"/>
            <w:vAlign w:val="center"/>
          </w:tcPr>
          <w:p w14:paraId="22699321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</w:t>
            </w:r>
          </w:p>
          <w:p w14:paraId="473E2AB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PNCP</w:t>
            </w:r>
          </w:p>
          <w:p w14:paraId="36FA4EA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76968627000100-1-000353/2025</w:t>
            </w:r>
          </w:p>
        </w:tc>
      </w:tr>
      <w:tr w:rsidR="00DC69DB" w:rsidRPr="00DC69DB" w14:paraId="27FF59BA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42A403D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MUNICIPIO DE LARANJEIRAS DO SUL/PR</w:t>
            </w:r>
          </w:p>
        </w:tc>
        <w:tc>
          <w:tcPr>
            <w:tcW w:w="1104" w:type="dxa"/>
            <w:vAlign w:val="center"/>
          </w:tcPr>
          <w:p w14:paraId="29343DED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 n° 008/2025-PMLS</w:t>
            </w:r>
          </w:p>
        </w:tc>
        <w:tc>
          <w:tcPr>
            <w:tcW w:w="1245" w:type="dxa"/>
            <w:vAlign w:val="center"/>
          </w:tcPr>
          <w:p w14:paraId="5438796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04/09/2025</w:t>
            </w:r>
          </w:p>
        </w:tc>
        <w:tc>
          <w:tcPr>
            <w:tcW w:w="1955" w:type="dxa"/>
            <w:vAlign w:val="center"/>
          </w:tcPr>
          <w:p w14:paraId="15952E4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- CONTRATAÇÃO DE EMPRESA DE ENGENHA-RIA PARA CONSTRUÇÃO DE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54 CASAS</w:t>
            </w:r>
            <w:r w:rsidRPr="00DC69DB">
              <w:rPr>
                <w:rFonts w:ascii="Times New Roman" w:hAnsi="Times New Roman"/>
                <w:sz w:val="20"/>
                <w:szCs w:val="20"/>
              </w:rPr>
              <w:t xml:space="preserve"> – PROGRAMA MINHA CASA MINHA VI-DA – MCMV FNHIS SUB 50 NO MUNICÍPIO DE LARANJEIRAS DO SUL – PARA-NÁ, CONFORME TERMO DE COMPROMISSO TRANSFEREGOV.BR Nº 97464 /2024/MCIDADES/CAIXA, segundo os projetos, planilhas, cronograma, memorial descritivo e demais anexos do edital. </w:t>
            </w:r>
          </w:p>
        </w:tc>
        <w:tc>
          <w:tcPr>
            <w:tcW w:w="1387" w:type="dxa"/>
            <w:vAlign w:val="center"/>
          </w:tcPr>
          <w:p w14:paraId="171CD11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8.035.951,23</w:t>
            </w:r>
          </w:p>
          <w:p w14:paraId="478EA996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0CC2D9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Valor Homologado </w:t>
            </w:r>
          </w:p>
        </w:tc>
        <w:tc>
          <w:tcPr>
            <w:tcW w:w="1366" w:type="dxa"/>
            <w:vAlign w:val="center"/>
          </w:tcPr>
          <w:p w14:paraId="4F9BD32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76205970000195-1-000134/2025</w:t>
            </w:r>
          </w:p>
        </w:tc>
      </w:tr>
      <w:tr w:rsidR="00DC69DB" w:rsidRPr="00DC69DB" w14:paraId="54B8257B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0A220C04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MUNICIPIO DE RESERVA DO IGUAÇU/PR</w:t>
            </w:r>
          </w:p>
        </w:tc>
        <w:tc>
          <w:tcPr>
            <w:tcW w:w="1104" w:type="dxa"/>
            <w:vAlign w:val="center"/>
          </w:tcPr>
          <w:p w14:paraId="5733A7F4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 n° 90002/2025</w:t>
            </w:r>
          </w:p>
        </w:tc>
        <w:tc>
          <w:tcPr>
            <w:tcW w:w="1245" w:type="dxa"/>
            <w:vAlign w:val="center"/>
          </w:tcPr>
          <w:p w14:paraId="73BF25D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03/09/2025</w:t>
            </w:r>
          </w:p>
        </w:tc>
        <w:tc>
          <w:tcPr>
            <w:tcW w:w="1955" w:type="dxa"/>
            <w:vAlign w:val="center"/>
          </w:tcPr>
          <w:p w14:paraId="071A852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Contratação de empresa para construção de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25 (vinte e cinco) unidades habitacionais</w:t>
            </w:r>
            <w:r w:rsidRPr="00DC69DB">
              <w:rPr>
                <w:rFonts w:ascii="Times New Roman" w:hAnsi="Times New Roman"/>
                <w:sz w:val="20"/>
                <w:szCs w:val="20"/>
              </w:rPr>
              <w:t xml:space="preserve"> de interesse social, com financiamento via “Minha Casa, Minha Vida”, nos termos da tabela </w:t>
            </w:r>
            <w:r w:rsidRPr="00DC69DB">
              <w:rPr>
                <w:rFonts w:ascii="Times New Roman" w:hAnsi="Times New Roman"/>
                <w:sz w:val="20"/>
                <w:szCs w:val="20"/>
              </w:rPr>
              <w:lastRenderedPageBreak/>
              <w:t>abaixo, conforme condições e exigências estabelecidas neste instrumento.</w:t>
            </w:r>
          </w:p>
        </w:tc>
        <w:tc>
          <w:tcPr>
            <w:tcW w:w="1387" w:type="dxa"/>
            <w:vAlign w:val="center"/>
          </w:tcPr>
          <w:p w14:paraId="1F73659D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lastRenderedPageBreak/>
              <w:t>2.699.900,00</w:t>
            </w:r>
          </w:p>
          <w:p w14:paraId="290E0B35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Valor Homologado</w:t>
            </w:r>
          </w:p>
        </w:tc>
        <w:tc>
          <w:tcPr>
            <w:tcW w:w="1366" w:type="dxa"/>
            <w:vAlign w:val="center"/>
          </w:tcPr>
          <w:p w14:paraId="1AD0BB8F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01612911000132-1-000048/2025</w:t>
            </w:r>
          </w:p>
        </w:tc>
      </w:tr>
      <w:tr w:rsidR="00DC69DB" w:rsidRPr="00DC69DB" w14:paraId="2A864E3E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3782B2EE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MUNICÍPIO DE PEDRO DE TOLEDO/SP</w:t>
            </w:r>
          </w:p>
        </w:tc>
        <w:tc>
          <w:tcPr>
            <w:tcW w:w="1104" w:type="dxa"/>
            <w:vAlign w:val="center"/>
          </w:tcPr>
          <w:p w14:paraId="2C1726B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 n° 007/2025</w:t>
            </w:r>
          </w:p>
        </w:tc>
        <w:tc>
          <w:tcPr>
            <w:tcW w:w="1245" w:type="dxa"/>
            <w:vAlign w:val="center"/>
          </w:tcPr>
          <w:p w14:paraId="0F35BEB6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20/10/2025</w:t>
            </w:r>
          </w:p>
        </w:tc>
        <w:tc>
          <w:tcPr>
            <w:tcW w:w="1955" w:type="dxa"/>
            <w:vAlign w:val="center"/>
          </w:tcPr>
          <w:p w14:paraId="1BE1F96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CONSTRUÇÃO DE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20 UNIDADES HABITACIONAIS</w:t>
            </w:r>
            <w:r w:rsidRPr="00DC69DB">
              <w:rPr>
                <w:rFonts w:ascii="Times New Roman" w:hAnsi="Times New Roman"/>
                <w:sz w:val="20"/>
                <w:szCs w:val="20"/>
              </w:rPr>
              <w:t xml:space="preserve"> ATRAVÉS DO MCMV – PROGRAMA MINHA CASA MINHA VIDA, NO MUNICÍPIO DE PEDRO DE TOLEDO-SP, CONVÊNIO (FINHIS) 970333/2024.</w:t>
            </w:r>
          </w:p>
        </w:tc>
        <w:tc>
          <w:tcPr>
            <w:tcW w:w="1387" w:type="dxa"/>
            <w:vAlign w:val="center"/>
          </w:tcPr>
          <w:p w14:paraId="4728A6A0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1.972.609,58</w:t>
            </w:r>
          </w:p>
          <w:p w14:paraId="7D8D1E4A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Valor Homologado</w:t>
            </w:r>
          </w:p>
        </w:tc>
        <w:tc>
          <w:tcPr>
            <w:tcW w:w="1366" w:type="dxa"/>
            <w:vAlign w:val="center"/>
          </w:tcPr>
          <w:p w14:paraId="29CFF8BE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46578530000112-1-000200/2025</w:t>
            </w:r>
          </w:p>
        </w:tc>
      </w:tr>
      <w:tr w:rsidR="00DC69DB" w:rsidRPr="00DC69DB" w14:paraId="74FBA4EA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7D74635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MUNICÍPIO DE ANGATUBA/SP</w:t>
            </w:r>
          </w:p>
        </w:tc>
        <w:tc>
          <w:tcPr>
            <w:tcW w:w="1104" w:type="dxa"/>
            <w:vAlign w:val="center"/>
          </w:tcPr>
          <w:p w14:paraId="75149B28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 n° 006/2025</w:t>
            </w:r>
          </w:p>
        </w:tc>
        <w:tc>
          <w:tcPr>
            <w:tcW w:w="1245" w:type="dxa"/>
            <w:vAlign w:val="center"/>
          </w:tcPr>
          <w:p w14:paraId="32914C89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08/10/2025</w:t>
            </w:r>
          </w:p>
        </w:tc>
        <w:tc>
          <w:tcPr>
            <w:tcW w:w="1955" w:type="dxa"/>
            <w:vAlign w:val="center"/>
          </w:tcPr>
          <w:p w14:paraId="0B31F91E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Contratação de empresa especializada para execução da construção de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25 unidades habitacionais</w:t>
            </w:r>
            <w:r w:rsidRPr="00DC69DB">
              <w:rPr>
                <w:rFonts w:ascii="Times New Roman" w:hAnsi="Times New Roman"/>
                <w:sz w:val="20"/>
                <w:szCs w:val="20"/>
              </w:rPr>
              <w:t xml:space="preserve"> em área urbana, com fornecimento de toda mão de obra, materiais, equipamentos, maquinários e ferramentas necessárias para sua realização, referente ao Programa “Minha Casa, Minha Vida” – Fundo Nacional de Habitação de Interesse Social, através do Contrato de Repasse nº 974394/2025/MCIDADES/CAIXA</w:t>
            </w:r>
          </w:p>
        </w:tc>
        <w:tc>
          <w:tcPr>
            <w:tcW w:w="1387" w:type="dxa"/>
            <w:vAlign w:val="center"/>
          </w:tcPr>
          <w:p w14:paraId="172EA31B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3.015.533,37</w:t>
            </w:r>
          </w:p>
          <w:p w14:paraId="733406EA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Valor Homologado</w:t>
            </w:r>
          </w:p>
        </w:tc>
        <w:tc>
          <w:tcPr>
            <w:tcW w:w="1366" w:type="dxa"/>
            <w:vAlign w:val="center"/>
          </w:tcPr>
          <w:p w14:paraId="2DFA437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46634234000191-1-000061/2025</w:t>
            </w:r>
          </w:p>
        </w:tc>
      </w:tr>
      <w:tr w:rsidR="00DC69DB" w:rsidRPr="00DC69DB" w14:paraId="17298C5C" w14:textId="77777777" w:rsidTr="007E25D7">
        <w:trPr>
          <w:tblCellSpacing w:w="15" w:type="dxa"/>
        </w:trPr>
        <w:tc>
          <w:tcPr>
            <w:tcW w:w="2077" w:type="dxa"/>
            <w:vAlign w:val="center"/>
          </w:tcPr>
          <w:p w14:paraId="74F2A00A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MUNICÍPIO DE OURO VERDE/SP</w:t>
            </w:r>
          </w:p>
        </w:tc>
        <w:tc>
          <w:tcPr>
            <w:tcW w:w="1104" w:type="dxa"/>
            <w:vAlign w:val="center"/>
          </w:tcPr>
          <w:p w14:paraId="1AF2835D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Concorrência n° 004/2025</w:t>
            </w:r>
          </w:p>
        </w:tc>
        <w:tc>
          <w:tcPr>
            <w:tcW w:w="1245" w:type="dxa"/>
            <w:vAlign w:val="center"/>
          </w:tcPr>
          <w:p w14:paraId="64A657A2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01/10/2025</w:t>
            </w:r>
          </w:p>
        </w:tc>
        <w:tc>
          <w:tcPr>
            <w:tcW w:w="1955" w:type="dxa"/>
            <w:vAlign w:val="center"/>
          </w:tcPr>
          <w:p w14:paraId="5C7CBB51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CONTRATAÇÃO DE EMPRESA ESPECIALIZADA PARA CONSTRUÇÃO DE </w:t>
            </w:r>
            <w:r w:rsidRPr="00DC69DB">
              <w:rPr>
                <w:rFonts w:ascii="Times New Roman" w:hAnsi="Times New Roman"/>
                <w:b/>
                <w:bCs/>
                <w:sz w:val="20"/>
                <w:szCs w:val="20"/>
              </w:rPr>
              <w:t>25 UNIDADES HABITACIONAIS</w:t>
            </w:r>
            <w:r w:rsidRPr="00DC69DB">
              <w:rPr>
                <w:rFonts w:ascii="Times New Roman" w:hAnsi="Times New Roman"/>
                <w:sz w:val="20"/>
                <w:szCs w:val="20"/>
              </w:rPr>
              <w:t xml:space="preserve"> MUNICÍPIO OURO VERDE PARA POPULAÇÃO DE BAIXA RENDA ATRAVÉS DO FUNDO NACIONAL DE HABITAÇÃO DE INTERESSE SOCIAL, MINHA CASA </w:t>
            </w:r>
            <w:r w:rsidRPr="00DC69DB">
              <w:rPr>
                <w:rFonts w:ascii="Times New Roman" w:hAnsi="Times New Roman"/>
                <w:sz w:val="20"/>
                <w:szCs w:val="20"/>
              </w:rPr>
              <w:lastRenderedPageBreak/>
              <w:t>MINHA VIDA - FNHIS - SUB50, TERMO DE COMPROMISSO Nº 970867/2024/MCIDADES/CAIXA - OPERAÇÃO Nº 1099251-58 – PROGRAMA: MORADIA DIGNA.</w:t>
            </w:r>
          </w:p>
        </w:tc>
        <w:tc>
          <w:tcPr>
            <w:tcW w:w="1387" w:type="dxa"/>
            <w:vAlign w:val="center"/>
          </w:tcPr>
          <w:p w14:paraId="382AE79F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lastRenderedPageBreak/>
              <w:t>2.660.000,00</w:t>
            </w:r>
          </w:p>
          <w:p w14:paraId="61048664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 xml:space="preserve">Valor </w:t>
            </w:r>
            <w:proofErr w:type="spellStart"/>
            <w:r w:rsidRPr="00DC69DB">
              <w:rPr>
                <w:rFonts w:ascii="Times New Roman" w:hAnsi="Times New Roman"/>
                <w:sz w:val="20"/>
                <w:szCs w:val="20"/>
              </w:rPr>
              <w:t>Homo-logado</w:t>
            </w:r>
            <w:proofErr w:type="spellEnd"/>
          </w:p>
        </w:tc>
        <w:tc>
          <w:tcPr>
            <w:tcW w:w="1366" w:type="dxa"/>
            <w:vAlign w:val="center"/>
          </w:tcPr>
          <w:p w14:paraId="05A49D0C" w14:textId="77777777" w:rsidR="00DC69DB" w:rsidRPr="00DC69DB" w:rsidRDefault="00DC69DB" w:rsidP="004D6187">
            <w:pPr>
              <w:suppressAutoHyphens w:val="0"/>
              <w:overflowPunct/>
              <w:spacing w:after="0"/>
              <w:ind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9DB">
              <w:rPr>
                <w:rFonts w:ascii="Times New Roman" w:hAnsi="Times New Roman"/>
                <w:sz w:val="20"/>
                <w:szCs w:val="20"/>
              </w:rPr>
              <w:t>Id contratação PNCP: 44882637000124-1-000007/2025</w:t>
            </w:r>
          </w:p>
        </w:tc>
      </w:tr>
    </w:tbl>
    <w:p w14:paraId="2FFA6556" w14:textId="77777777" w:rsidR="00DC69DB" w:rsidRPr="00DC69DB" w:rsidRDefault="00DC69DB" w:rsidP="004D6187">
      <w:pPr>
        <w:suppressAutoHyphens w:val="0"/>
        <w:overflowPunct/>
        <w:spacing w:after="0"/>
        <w:ind w:right="-2"/>
        <w:jc w:val="both"/>
        <w:rPr>
          <w:rFonts w:ascii="Times New Roman" w:hAnsi="Times New Roman"/>
        </w:rPr>
      </w:pPr>
    </w:p>
    <w:p w14:paraId="618A94BC" w14:textId="3EB88400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2º Contratações similares em execução ou concluídas no período máximo de 01 (um) ano:</w:t>
      </w:r>
    </w:p>
    <w:p w14:paraId="1C78D561" w14:textId="420642D5" w:rsidR="001A71A3" w:rsidRPr="006262F5" w:rsidRDefault="00DC69DB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Fonts w:ascii="Times New Roman" w:hAnsi="Times New Roman"/>
          <w:sz w:val="24"/>
          <w:szCs w:val="24"/>
        </w:rPr>
        <w:t>Ver quadro acima.</w:t>
      </w:r>
    </w:p>
    <w:p w14:paraId="629E9EFC" w14:textId="2AF80F01" w:rsidR="001A71A3" w:rsidRPr="006262F5" w:rsidRDefault="008F0158" w:rsidP="004D6187">
      <w:pPr>
        <w:pStyle w:val="Corpodetexto"/>
        <w:jc w:val="both"/>
        <w:rPr>
          <w:rFonts w:ascii="Times New Roman" w:hAnsi="Times New Roman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3º Sítios eletrônicos especializados ou de domínio amplo, contendo data e hora de acesso:</w:t>
      </w:r>
      <w:r w:rsidRPr="006262F5">
        <w:rPr>
          <w:rFonts w:ascii="Times New Roman" w:hAnsi="Times New Roman"/>
          <w:sz w:val="24"/>
          <w:szCs w:val="24"/>
        </w:rPr>
        <w:br/>
      </w:r>
      <w:hyperlink r:id="rId7" w:tgtFrame="_new">
        <w:r w:rsidRPr="006262F5">
          <w:rPr>
            <w:rStyle w:val="Hyperlink"/>
            <w:rFonts w:ascii="Times New Roman" w:hAnsi="Times New Roman"/>
            <w:sz w:val="24"/>
            <w:szCs w:val="24"/>
          </w:rPr>
          <w:t>https://pncp.gov.br</w:t>
        </w:r>
      </w:hyperlink>
      <w:r w:rsidRPr="006262F5">
        <w:rPr>
          <w:rFonts w:ascii="Times New Roman" w:hAnsi="Times New Roman"/>
          <w:sz w:val="24"/>
          <w:szCs w:val="24"/>
        </w:rPr>
        <w:t xml:space="preserve"> – acessos em </w:t>
      </w:r>
      <w:r w:rsidR="00DC69DB" w:rsidRPr="006262F5">
        <w:rPr>
          <w:rFonts w:ascii="Times New Roman" w:hAnsi="Times New Roman"/>
          <w:sz w:val="24"/>
          <w:szCs w:val="24"/>
        </w:rPr>
        <w:t>13</w:t>
      </w:r>
      <w:r w:rsidRPr="006262F5">
        <w:rPr>
          <w:rFonts w:ascii="Times New Roman" w:hAnsi="Times New Roman"/>
          <w:sz w:val="24"/>
          <w:szCs w:val="24"/>
        </w:rPr>
        <w:t>/</w:t>
      </w:r>
      <w:r w:rsidR="00DC69DB" w:rsidRPr="006262F5">
        <w:rPr>
          <w:rFonts w:ascii="Times New Roman" w:hAnsi="Times New Roman"/>
          <w:sz w:val="24"/>
          <w:szCs w:val="24"/>
        </w:rPr>
        <w:t>11</w:t>
      </w:r>
      <w:r w:rsidRPr="006262F5">
        <w:rPr>
          <w:rFonts w:ascii="Times New Roman" w:hAnsi="Times New Roman"/>
          <w:sz w:val="24"/>
          <w:szCs w:val="24"/>
        </w:rPr>
        <w:t xml:space="preserve">/2025, </w:t>
      </w:r>
      <w:r w:rsidR="00DC69DB" w:rsidRPr="006262F5">
        <w:rPr>
          <w:rFonts w:ascii="Times New Roman" w:hAnsi="Times New Roman"/>
          <w:sz w:val="24"/>
          <w:szCs w:val="24"/>
        </w:rPr>
        <w:t>de</w:t>
      </w:r>
      <w:r w:rsidRPr="006262F5">
        <w:rPr>
          <w:rFonts w:ascii="Times New Roman" w:hAnsi="Times New Roman"/>
          <w:sz w:val="24"/>
          <w:szCs w:val="24"/>
        </w:rPr>
        <w:t xml:space="preserve"> 1</w:t>
      </w:r>
      <w:r w:rsidR="00DC69DB" w:rsidRPr="006262F5">
        <w:rPr>
          <w:rFonts w:ascii="Times New Roman" w:hAnsi="Times New Roman"/>
          <w:sz w:val="24"/>
          <w:szCs w:val="24"/>
        </w:rPr>
        <w:t>1h:35m</w:t>
      </w:r>
      <w:r w:rsidRPr="006262F5">
        <w:rPr>
          <w:rFonts w:ascii="Times New Roman" w:hAnsi="Times New Roman"/>
          <w:sz w:val="24"/>
          <w:szCs w:val="24"/>
        </w:rPr>
        <w:t xml:space="preserve"> </w:t>
      </w:r>
      <w:r w:rsidR="00DC69DB" w:rsidRPr="006262F5">
        <w:rPr>
          <w:rFonts w:ascii="Times New Roman" w:hAnsi="Times New Roman"/>
          <w:sz w:val="24"/>
          <w:szCs w:val="24"/>
        </w:rPr>
        <w:t>às 16h:14m</w:t>
      </w:r>
    </w:p>
    <w:p w14:paraId="7A4624F3" w14:textId="77777777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4º Pesquisa com no mínimo 03 (três) fornecedores ou prestadores de serviços, com a justificativa da escolha desses fornecedores:</w:t>
      </w:r>
    </w:p>
    <w:p w14:paraId="700484B2" w14:textId="77A1CF30" w:rsidR="001A71A3" w:rsidRDefault="008F0158" w:rsidP="004D6187">
      <w:pPr>
        <w:pStyle w:val="Corpodetexto"/>
        <w:jc w:val="both"/>
        <w:rPr>
          <w:rStyle w:val="Forte"/>
          <w:rFonts w:ascii="Times New Roman" w:hAnsi="Times New Roman"/>
          <w:b w:val="0"/>
          <w:color w:val="000000"/>
          <w:sz w:val="24"/>
          <w:szCs w:val="24"/>
        </w:rPr>
      </w:pPr>
      <w:r w:rsidRPr="006262F5">
        <w:rPr>
          <w:rFonts w:ascii="Times New Roman" w:hAnsi="Times New Roman"/>
          <w:color w:val="000000"/>
          <w:sz w:val="24"/>
          <w:szCs w:val="24"/>
        </w:rPr>
        <w:t xml:space="preserve">Foram </w:t>
      </w:r>
      <w:r w:rsidR="00D962EE" w:rsidRPr="006262F5">
        <w:rPr>
          <w:rFonts w:ascii="Times New Roman" w:hAnsi="Times New Roman"/>
          <w:color w:val="000000"/>
          <w:sz w:val="24"/>
          <w:szCs w:val="24"/>
        </w:rPr>
        <w:t>consultadas</w:t>
      </w:r>
      <w:r w:rsidRPr="006262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6187">
        <w:rPr>
          <w:rStyle w:val="Forte"/>
          <w:rFonts w:ascii="Times New Roman" w:hAnsi="Times New Roman"/>
          <w:b w:val="0"/>
          <w:color w:val="000000"/>
          <w:sz w:val="24"/>
          <w:szCs w:val="24"/>
        </w:rPr>
        <w:t>7</w:t>
      </w:r>
      <w:r w:rsidR="00D962EE" w:rsidRPr="006262F5">
        <w:rPr>
          <w:rStyle w:val="Forte"/>
          <w:rFonts w:ascii="Times New Roman" w:hAnsi="Times New Roman"/>
          <w:b w:val="0"/>
          <w:color w:val="000000"/>
          <w:sz w:val="24"/>
          <w:szCs w:val="24"/>
        </w:rPr>
        <w:t xml:space="preserve"> empresas de engenharia, na qual não houve interesse em nenhuma delas em apresentar a cotação.</w:t>
      </w:r>
    </w:p>
    <w:p w14:paraId="6C6C37E0" w14:textId="0CA183A3" w:rsidR="00E379E3" w:rsidRDefault="00E379E3" w:rsidP="004D6187">
      <w:pPr>
        <w:pStyle w:val="Corpodetexto"/>
        <w:jc w:val="both"/>
        <w:rPr>
          <w:rStyle w:val="Forte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Forte"/>
          <w:rFonts w:ascii="Times New Roman" w:hAnsi="Times New Roman"/>
          <w:b w:val="0"/>
          <w:color w:val="000000"/>
          <w:sz w:val="24"/>
          <w:szCs w:val="24"/>
        </w:rPr>
        <w:t>A Empresas consultadas foram as seguintes:</w:t>
      </w:r>
    </w:p>
    <w:p w14:paraId="2B43AEA0" w14:textId="797AA4EC" w:rsidR="00E379E3" w:rsidRPr="004D6187" w:rsidRDefault="00E379E3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sz w:val="24"/>
          <w:szCs w:val="24"/>
        </w:rPr>
        <w:t>Nome:</w:t>
      </w:r>
      <w:r w:rsidR="009513EE" w:rsidRPr="004D6187">
        <w:rPr>
          <w:rFonts w:ascii="Times New Roman" w:hAnsi="Times New Roman"/>
          <w:sz w:val="24"/>
          <w:szCs w:val="24"/>
        </w:rPr>
        <w:t xml:space="preserve"> </w:t>
      </w:r>
      <w:r w:rsidRPr="004D6187">
        <w:rPr>
          <w:rFonts w:ascii="Times New Roman" w:hAnsi="Times New Roman"/>
          <w:sz w:val="24"/>
          <w:szCs w:val="24"/>
        </w:rPr>
        <w:t>CONSTRUTORA</w:t>
      </w:r>
      <w:r w:rsidR="009513EE" w:rsidRPr="004D6187">
        <w:rPr>
          <w:rFonts w:ascii="Times New Roman" w:hAnsi="Times New Roman"/>
          <w:sz w:val="24"/>
          <w:szCs w:val="24"/>
        </w:rPr>
        <w:t xml:space="preserve"> </w:t>
      </w:r>
      <w:r w:rsidRPr="004D6187">
        <w:rPr>
          <w:rFonts w:ascii="Times New Roman" w:hAnsi="Times New Roman"/>
          <w:sz w:val="24"/>
          <w:szCs w:val="24"/>
        </w:rPr>
        <w:t>CARRA LTDA</w:t>
      </w:r>
      <w:r w:rsidR="009513EE" w:rsidRPr="004D6187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4D6187">
          <w:rPr>
            <w:rStyle w:val="Hyperlink"/>
            <w:rFonts w:ascii="Times New Roman" w:hAnsi="Times New Roman"/>
            <w:sz w:val="24"/>
            <w:szCs w:val="24"/>
          </w:rPr>
          <w:t>l.c.carra@brturbo.com.br</w:t>
        </w:r>
      </w:hyperlink>
      <w:r w:rsidR="009513EE" w:rsidRPr="004D6187">
        <w:rPr>
          <w:rFonts w:ascii="Times New Roman" w:hAnsi="Times New Roman"/>
          <w:sz w:val="24"/>
          <w:szCs w:val="24"/>
        </w:rPr>
        <w:t xml:space="preserve">, </w:t>
      </w:r>
      <w:r w:rsidRPr="004D6187">
        <w:rPr>
          <w:rFonts w:ascii="Times New Roman" w:hAnsi="Times New Roman"/>
          <w:sz w:val="24"/>
          <w:szCs w:val="24"/>
        </w:rPr>
        <w:t>CNPJ: 08.255.500/0001-86</w:t>
      </w:r>
      <w:r w:rsidRPr="004D6187">
        <w:rPr>
          <w:rFonts w:ascii="Times New Roman" w:hAnsi="Times New Roman"/>
          <w:sz w:val="24"/>
          <w:szCs w:val="24"/>
        </w:rPr>
        <w:t>;</w:t>
      </w:r>
    </w:p>
    <w:p w14:paraId="063873B1" w14:textId="796A3790" w:rsidR="009513EE" w:rsidRPr="004D6187" w:rsidRDefault="009513EE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sz w:val="24"/>
          <w:szCs w:val="24"/>
        </w:rPr>
        <w:t xml:space="preserve">Nome: </w:t>
      </w:r>
      <w:proofErr w:type="spellStart"/>
      <w:r w:rsidRPr="004D6187">
        <w:rPr>
          <w:rFonts w:ascii="Times New Roman" w:hAnsi="Times New Roman"/>
          <w:sz w:val="24"/>
          <w:szCs w:val="24"/>
        </w:rPr>
        <w:t>Lft</w:t>
      </w:r>
      <w:proofErr w:type="spellEnd"/>
      <w:r w:rsidRPr="004D6187">
        <w:rPr>
          <w:rFonts w:ascii="Times New Roman" w:hAnsi="Times New Roman"/>
          <w:sz w:val="24"/>
          <w:szCs w:val="24"/>
        </w:rPr>
        <w:t xml:space="preserve"> Engenharia Civil </w:t>
      </w:r>
      <w:proofErr w:type="gramStart"/>
      <w:r w:rsidRPr="004D6187">
        <w:rPr>
          <w:rFonts w:ascii="Times New Roman" w:hAnsi="Times New Roman"/>
          <w:sz w:val="24"/>
          <w:szCs w:val="24"/>
        </w:rPr>
        <w:t>LTDA</w:t>
      </w:r>
      <w:r w:rsidRPr="004D618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6187">
        <w:rPr>
          <w:rFonts w:ascii="Times New Roman" w:hAnsi="Times New Roman"/>
          <w:sz w:val="24"/>
          <w:szCs w:val="24"/>
        </w:rPr>
        <w:t xml:space="preserve"> </w:t>
      </w:r>
      <w:r w:rsidRPr="004D6187">
        <w:rPr>
          <w:rFonts w:ascii="Times New Roman" w:hAnsi="Times New Roman"/>
          <w:color w:val="0070C0"/>
          <w:sz w:val="24"/>
          <w:szCs w:val="24"/>
          <w:shd w:val="clear" w:color="auto" w:fill="FFFFFF"/>
        </w:rPr>
        <w:t>lftengenhariacivil@gmail.com</w:t>
      </w:r>
      <w:r w:rsidRPr="004D6187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4D6187">
        <w:rPr>
          <w:rFonts w:ascii="Times New Roman" w:hAnsi="Times New Roman"/>
          <w:sz w:val="24"/>
          <w:szCs w:val="24"/>
        </w:rPr>
        <w:t xml:space="preserve">, </w:t>
      </w:r>
      <w:r w:rsidRPr="004D6187">
        <w:rPr>
          <w:rFonts w:ascii="Times New Roman" w:hAnsi="Times New Roman"/>
          <w:sz w:val="24"/>
          <w:szCs w:val="24"/>
        </w:rPr>
        <w:t>CNPJ: 35.230.617/0001-88</w:t>
      </w:r>
    </w:p>
    <w:p w14:paraId="3EBAF28A" w14:textId="09E3730E" w:rsidR="009513EE" w:rsidRPr="004D6187" w:rsidRDefault="009513EE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color w:val="2C363A"/>
          <w:sz w:val="24"/>
          <w:szCs w:val="24"/>
          <w:shd w:val="clear" w:color="auto" w:fill="FFFFFF"/>
        </w:rPr>
      </w:pPr>
      <w:r w:rsidRPr="004D6187">
        <w:rPr>
          <w:rFonts w:ascii="Times New Roman" w:hAnsi="Times New Roman"/>
          <w:sz w:val="24"/>
          <w:szCs w:val="24"/>
        </w:rPr>
        <w:t xml:space="preserve">Nome: </w:t>
      </w:r>
      <w:r w:rsidRPr="004D6187">
        <w:rPr>
          <w:rFonts w:ascii="Times New Roman" w:hAnsi="Times New Roman"/>
          <w:sz w:val="24"/>
          <w:szCs w:val="24"/>
        </w:rPr>
        <w:t xml:space="preserve">Construtora Godoi </w:t>
      </w:r>
      <w:proofErr w:type="spellStart"/>
      <w:r w:rsidRPr="004D6187">
        <w:rPr>
          <w:rFonts w:ascii="Times New Roman" w:hAnsi="Times New Roman"/>
          <w:sz w:val="24"/>
          <w:szCs w:val="24"/>
        </w:rPr>
        <w:t>Andira</w:t>
      </w:r>
      <w:proofErr w:type="spellEnd"/>
      <w:r w:rsidRPr="004D6187">
        <w:rPr>
          <w:rFonts w:ascii="Times New Roman" w:hAnsi="Times New Roman"/>
          <w:sz w:val="24"/>
          <w:szCs w:val="24"/>
        </w:rPr>
        <w:t xml:space="preserve"> Ltda</w:t>
      </w:r>
      <w:r w:rsidRPr="004D6187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4D6187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construtoragodoi@hotmail.com</w:t>
        </w:r>
      </w:hyperlink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, </w:t>
      </w: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>CNPJ</w:t>
      </w: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 </w:t>
      </w: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>10.814.967/0001-60</w:t>
      </w:r>
    </w:p>
    <w:p w14:paraId="75C1A265" w14:textId="5F935F53" w:rsidR="009513EE" w:rsidRPr="004D6187" w:rsidRDefault="009513EE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color w:val="2C363A"/>
          <w:sz w:val="24"/>
          <w:szCs w:val="24"/>
          <w:shd w:val="clear" w:color="auto" w:fill="FFFFFF"/>
        </w:rPr>
      </w:pP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Nome: </w:t>
      </w:r>
      <w:proofErr w:type="spellStart"/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>Cimentec</w:t>
      </w:r>
      <w:proofErr w:type="spellEnd"/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 Construtora LTDA</w:t>
      </w: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, </w:t>
      </w:r>
      <w:hyperlink r:id="rId10" w:history="1">
        <w:r w:rsidRPr="004D6187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construtoracimentec@uol.com.br</w:t>
        </w:r>
      </w:hyperlink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 xml:space="preserve">, </w:t>
      </w:r>
      <w:r w:rsidRPr="004D6187">
        <w:rPr>
          <w:rFonts w:ascii="Times New Roman" w:hAnsi="Times New Roman"/>
          <w:color w:val="2C363A"/>
          <w:sz w:val="24"/>
          <w:szCs w:val="24"/>
          <w:shd w:val="clear" w:color="auto" w:fill="FFFFFF"/>
        </w:rPr>
        <w:t>CNPJ: 84.808.187/0001-44</w:t>
      </w:r>
    </w:p>
    <w:p w14:paraId="24F77C8A" w14:textId="70E2FB42" w:rsidR="009513EE" w:rsidRPr="004D6187" w:rsidRDefault="009513EE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sz w:val="24"/>
          <w:szCs w:val="24"/>
        </w:rPr>
        <w:t xml:space="preserve">Nome: </w:t>
      </w:r>
      <w:r w:rsidRPr="004D6187">
        <w:rPr>
          <w:rFonts w:ascii="Times New Roman" w:hAnsi="Times New Roman"/>
          <w:sz w:val="24"/>
          <w:szCs w:val="24"/>
        </w:rPr>
        <w:t>M</w:t>
      </w:r>
      <w:r w:rsidRPr="004D6187">
        <w:rPr>
          <w:rFonts w:ascii="Times New Roman" w:hAnsi="Times New Roman"/>
          <w:sz w:val="24"/>
          <w:szCs w:val="24"/>
        </w:rPr>
        <w:t>.</w:t>
      </w:r>
      <w:r w:rsidRPr="004D6187">
        <w:rPr>
          <w:rFonts w:ascii="Times New Roman" w:hAnsi="Times New Roman"/>
          <w:sz w:val="24"/>
          <w:szCs w:val="24"/>
        </w:rPr>
        <w:t>C</w:t>
      </w:r>
      <w:r w:rsidRPr="004D61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D6187">
        <w:rPr>
          <w:rFonts w:ascii="Times New Roman" w:hAnsi="Times New Roman"/>
          <w:sz w:val="24"/>
          <w:szCs w:val="24"/>
        </w:rPr>
        <w:t>Ronqui</w:t>
      </w:r>
      <w:proofErr w:type="spellEnd"/>
      <w:r w:rsidRPr="004D6187">
        <w:rPr>
          <w:rFonts w:ascii="Times New Roman" w:hAnsi="Times New Roman"/>
          <w:sz w:val="24"/>
          <w:szCs w:val="24"/>
        </w:rPr>
        <w:t xml:space="preserve"> Construtora LTDA</w:t>
      </w:r>
      <w:r w:rsidRPr="004D6187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4D6187">
          <w:rPr>
            <w:rStyle w:val="Hyperlink"/>
            <w:rFonts w:ascii="Times New Roman" w:hAnsi="Times New Roman"/>
            <w:sz w:val="24"/>
            <w:szCs w:val="24"/>
          </w:rPr>
          <w:t>marcia_ronqui@hotmail.com</w:t>
        </w:r>
      </w:hyperlink>
      <w:r w:rsidRPr="004D6187">
        <w:rPr>
          <w:rFonts w:ascii="Times New Roman" w:hAnsi="Times New Roman"/>
          <w:sz w:val="24"/>
          <w:szCs w:val="24"/>
        </w:rPr>
        <w:t xml:space="preserve">, </w:t>
      </w:r>
      <w:r w:rsidRPr="004D6187">
        <w:rPr>
          <w:rFonts w:ascii="Times New Roman" w:hAnsi="Times New Roman"/>
          <w:sz w:val="24"/>
          <w:szCs w:val="24"/>
        </w:rPr>
        <w:t>CNPJ: 27.514.339/0001-62</w:t>
      </w:r>
    </w:p>
    <w:p w14:paraId="45717CE5" w14:textId="6E302BA4" w:rsidR="009513EE" w:rsidRPr="004D6187" w:rsidRDefault="009513EE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sz w:val="24"/>
          <w:szCs w:val="24"/>
        </w:rPr>
        <w:t xml:space="preserve">Nome: </w:t>
      </w:r>
      <w:r w:rsidRPr="004D6187">
        <w:rPr>
          <w:rFonts w:ascii="Times New Roman" w:hAnsi="Times New Roman"/>
          <w:sz w:val="24"/>
          <w:szCs w:val="24"/>
        </w:rPr>
        <w:t>MR MANFIO CONSTRUTORA LTD</w:t>
      </w:r>
      <w:r w:rsidRPr="004D6187">
        <w:rPr>
          <w:rFonts w:ascii="Times New Roman" w:hAnsi="Times New Roman"/>
          <w:sz w:val="24"/>
          <w:szCs w:val="24"/>
        </w:rPr>
        <w:t xml:space="preserve">A, </w:t>
      </w:r>
      <w:hyperlink r:id="rId12" w:history="1">
        <w:r w:rsidR="004D6187" w:rsidRPr="004D6187">
          <w:rPr>
            <w:rStyle w:val="Hyperlink"/>
            <w:rFonts w:ascii="Times New Roman" w:hAnsi="Times New Roman"/>
            <w:sz w:val="24"/>
            <w:szCs w:val="24"/>
          </w:rPr>
          <w:t>josianemanfio@gmail.com</w:t>
        </w:r>
      </w:hyperlink>
      <w:r w:rsidR="004D6187" w:rsidRPr="004D6187">
        <w:rPr>
          <w:rFonts w:ascii="Times New Roman" w:hAnsi="Times New Roman"/>
          <w:sz w:val="24"/>
          <w:szCs w:val="24"/>
        </w:rPr>
        <w:t xml:space="preserve">, </w:t>
      </w:r>
      <w:r w:rsidRPr="004D6187">
        <w:rPr>
          <w:rFonts w:ascii="Times New Roman" w:hAnsi="Times New Roman"/>
          <w:sz w:val="24"/>
          <w:szCs w:val="24"/>
        </w:rPr>
        <w:t xml:space="preserve">CNPJ </w:t>
      </w:r>
      <w:r w:rsidRPr="004D6187">
        <w:rPr>
          <w:rFonts w:ascii="Times New Roman" w:hAnsi="Times New Roman"/>
          <w:sz w:val="24"/>
          <w:szCs w:val="24"/>
        </w:rPr>
        <w:t>51.149.392/0001-96.</w:t>
      </w:r>
      <w:r w:rsidRPr="004D6187">
        <w:rPr>
          <w:rFonts w:ascii="Times New Roman" w:hAnsi="Times New Roman"/>
          <w:sz w:val="24"/>
          <w:szCs w:val="24"/>
        </w:rPr>
        <w:t xml:space="preserve"> </w:t>
      </w:r>
    </w:p>
    <w:p w14:paraId="4D502A0E" w14:textId="26E51294" w:rsidR="009513EE" w:rsidRDefault="004D6187" w:rsidP="004D6187">
      <w:pPr>
        <w:pStyle w:val="Corpodetexto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Nome: </w:t>
      </w:r>
      <w:r w:rsidRPr="004D6187">
        <w:rPr>
          <w:rFonts w:ascii="Times New Roman" w:hAnsi="Times New Roman"/>
          <w:sz w:val="24"/>
          <w:szCs w:val="24"/>
        </w:rPr>
        <w:t>PADOVANI EMPREENDIMENTOS IMOBILIARIOS LTDA</w:t>
      </w:r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204E7C">
          <w:rPr>
            <w:rStyle w:val="Hyperlink"/>
            <w:rFonts w:ascii="Times New Roman" w:hAnsi="Times New Roman"/>
            <w:sz w:val="24"/>
            <w:szCs w:val="24"/>
          </w:rPr>
          <w:t>padovani@grupopadovani.com.br</w:t>
        </w:r>
      </w:hyperlink>
      <w:r>
        <w:rPr>
          <w:rFonts w:ascii="Times New Roman" w:hAnsi="Times New Roman"/>
          <w:sz w:val="24"/>
          <w:szCs w:val="24"/>
        </w:rPr>
        <w:t xml:space="preserve">, CNPJ </w:t>
      </w:r>
      <w:r w:rsidRPr="004D6187">
        <w:rPr>
          <w:rFonts w:ascii="Times New Roman" w:hAnsi="Times New Roman"/>
          <w:sz w:val="24"/>
          <w:szCs w:val="24"/>
        </w:rPr>
        <w:t>77.410.090/0003-85</w:t>
      </w:r>
      <w:r>
        <w:rPr>
          <w:rFonts w:ascii="Times New Roman" w:hAnsi="Times New Roman"/>
          <w:sz w:val="24"/>
          <w:szCs w:val="24"/>
        </w:rPr>
        <w:t>.</w:t>
      </w:r>
    </w:p>
    <w:p w14:paraId="3D06810C" w14:textId="77777777" w:rsidR="004D6187" w:rsidRPr="009513EE" w:rsidRDefault="004D6187" w:rsidP="004D6187">
      <w:pPr>
        <w:pStyle w:val="Corpodetex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F680C33" w14:textId="15965103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5º Pesquisa no aplicativo Nota Paraná:</w:t>
      </w:r>
    </w:p>
    <w:p w14:paraId="55A9017A" w14:textId="4CB85C70" w:rsidR="001A71A3" w:rsidRPr="006262F5" w:rsidRDefault="00D962EE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Fonts w:ascii="Times New Roman" w:hAnsi="Times New Roman"/>
          <w:sz w:val="24"/>
          <w:szCs w:val="24"/>
        </w:rPr>
        <w:lastRenderedPageBreak/>
        <w:t>Não é o caso para obras e serviços de engenharia</w:t>
      </w:r>
      <w:r w:rsidR="008F0158" w:rsidRPr="006262F5">
        <w:rPr>
          <w:rFonts w:ascii="Times New Roman" w:hAnsi="Times New Roman"/>
          <w:sz w:val="24"/>
          <w:szCs w:val="24"/>
        </w:rPr>
        <w:t xml:space="preserve">. </w:t>
      </w:r>
    </w:p>
    <w:p w14:paraId="4FAA9663" w14:textId="77777777" w:rsidR="001A71A3" w:rsidRPr="006262F5" w:rsidRDefault="008F0158" w:rsidP="004D6187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6262F5">
        <w:rPr>
          <w:rStyle w:val="Forte"/>
          <w:rFonts w:ascii="Times New Roman" w:hAnsi="Times New Roman"/>
          <w:sz w:val="24"/>
          <w:szCs w:val="24"/>
        </w:rPr>
        <w:t>6º Tabelas oficiais:</w:t>
      </w:r>
    </w:p>
    <w:p w14:paraId="1F82D074" w14:textId="7D339ADB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Por se tratar de Obras e Serviços de Engenharia foi utilização da Tabela SINAPI (Sistema Nacional de Pesquisa de Custos e Índices da Construção Civil).</w:t>
      </w:r>
    </w:p>
    <w:p w14:paraId="11DC3C07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A utilização da Tabela SINAPI como base para composição de custos do presente projeto de engenharia justifica-se por tratar-se de um sistema oficial de referência de preços, desenvolvido e mantido pela Caixa Econômica Federal (CAIXA) em parceria com o IBGE, com metodologia padronizada e atualizações mensais.</w:t>
      </w:r>
    </w:p>
    <w:p w14:paraId="5CF9DF85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O SINAPI fornece custos unitários de insumos e serviços da construção civil, contemplando materiais, mão de obra e encargos sociais, regionalizados por unidade da federação, o que garante maior aderência à realidade local dos preços praticados no mercado.</w:t>
      </w:r>
    </w:p>
    <w:p w14:paraId="30E67B88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A adoção da Tabela SINAPI atende às exigências da legislação vigente, em especial:</w:t>
      </w:r>
    </w:p>
    <w:p w14:paraId="0081E0EB" w14:textId="77777777" w:rsidR="00D962EE" w:rsidRPr="006262F5" w:rsidRDefault="00D962EE" w:rsidP="004D6187">
      <w:pPr>
        <w:pStyle w:val="PargrafodaLista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62F5">
        <w:rPr>
          <w:rFonts w:ascii="Times New Roman" w:hAnsi="Times New Roman" w:cs="Times New Roman"/>
          <w:bCs/>
          <w:sz w:val="24"/>
          <w:szCs w:val="24"/>
        </w:rPr>
        <w:t>Lei nº 14.133/2021 (Nova Lei de Licitações), que determina que os orçamentos de obras e serviços de engenharia devem utilizar sistemas oficiais de custos como referência;</w:t>
      </w:r>
    </w:p>
    <w:p w14:paraId="054D0115" w14:textId="77777777" w:rsidR="00D962EE" w:rsidRPr="006262F5" w:rsidRDefault="00D962EE" w:rsidP="004D6187">
      <w:pPr>
        <w:pStyle w:val="PargrafodaLista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62F5">
        <w:rPr>
          <w:rFonts w:ascii="Times New Roman" w:hAnsi="Times New Roman" w:cs="Times New Roman"/>
          <w:bCs/>
          <w:sz w:val="24"/>
          <w:szCs w:val="24"/>
        </w:rPr>
        <w:t>Acórdãos do Tribunal de Contas da União (TCU), que reconhecem o SINAPI como referência prioritária para orçamentação de obras públicas;</w:t>
      </w:r>
    </w:p>
    <w:p w14:paraId="78D96D56" w14:textId="7288CDD3" w:rsidR="00D962EE" w:rsidRPr="006262F5" w:rsidRDefault="00D962EE" w:rsidP="004D6187">
      <w:pPr>
        <w:pStyle w:val="PargrafodaLista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62F5">
        <w:rPr>
          <w:rFonts w:ascii="Times New Roman" w:hAnsi="Times New Roman" w:cs="Times New Roman"/>
          <w:bCs/>
          <w:sz w:val="24"/>
          <w:szCs w:val="24"/>
        </w:rPr>
        <w:t>Decreto nº 7.983/2013, que estabelece critérios para elaboração de orçamentos de referência de obras e serviços de engenharia, indicando o SINAPI como base principal para custos de edificações.</w:t>
      </w:r>
    </w:p>
    <w:p w14:paraId="055A7B2B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O uso do SINAPI promove:</w:t>
      </w:r>
    </w:p>
    <w:p w14:paraId="0E5F74A1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Padronização dos orçamentos, permitindo comparabilidade entre propostas;</w:t>
      </w:r>
    </w:p>
    <w:p w14:paraId="3BCE182A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Transparência e rastreabilidade dos custos adotados;</w:t>
      </w:r>
    </w:p>
    <w:p w14:paraId="49CFFF00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Redução de subjetividade na definição de preços;</w:t>
      </w:r>
    </w:p>
    <w:p w14:paraId="280C71F1" w14:textId="029D4DD0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Maior segurança técnica e jurídica para a Administração Pública e para o profissional responsável.</w:t>
      </w:r>
    </w:p>
    <w:p w14:paraId="280DAF97" w14:textId="007C036C" w:rsidR="00D962EE" w:rsidRPr="006262F5" w:rsidRDefault="00D962EE" w:rsidP="004D61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262F5">
        <w:rPr>
          <w:rFonts w:ascii="Times New Roman" w:hAnsi="Times New Roman"/>
          <w:bCs/>
          <w:sz w:val="24"/>
          <w:szCs w:val="24"/>
        </w:rPr>
        <w:t>Dessa forma, a adoção da Tabela SINAPI neste projeto de engenharia mostra-se tecnicamente adequada, legalmente respaldada e economicamente justificada, assegurando confiabilidade aos valores orçados e conformidade com as boas práticas da engenharia e da gestão pública.</w:t>
      </w:r>
    </w:p>
    <w:p w14:paraId="29FE20B1" w14:textId="77777777" w:rsidR="00D962EE" w:rsidRPr="006262F5" w:rsidRDefault="00D962EE" w:rsidP="004D61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86EE32B" w14:textId="605EA573" w:rsidR="001A71A3" w:rsidRPr="006262F5" w:rsidRDefault="008F0158" w:rsidP="004D6187">
      <w:pPr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b/>
          <w:sz w:val="24"/>
          <w:szCs w:val="24"/>
        </w:rPr>
        <w:t>IV. Série de preços coletados:</w:t>
      </w:r>
    </w:p>
    <w:tbl>
      <w:tblPr>
        <w:tblStyle w:val="Tabelacomgrade"/>
        <w:tblW w:w="10490" w:type="dxa"/>
        <w:tblInd w:w="-714" w:type="dxa"/>
        <w:tblLook w:val="04A0" w:firstRow="1" w:lastRow="0" w:firstColumn="1" w:lastColumn="0" w:noHBand="0" w:noVBand="1"/>
      </w:tblPr>
      <w:tblGrid>
        <w:gridCol w:w="605"/>
        <w:gridCol w:w="668"/>
        <w:gridCol w:w="811"/>
        <w:gridCol w:w="689"/>
        <w:gridCol w:w="4457"/>
        <w:gridCol w:w="1559"/>
        <w:gridCol w:w="1701"/>
      </w:tblGrid>
      <w:tr w:rsidR="006262F5" w:rsidRPr="006262F5" w14:paraId="473D2464" w14:textId="77777777" w:rsidTr="006262F5">
        <w:tc>
          <w:tcPr>
            <w:tcW w:w="605" w:type="dxa"/>
            <w:shd w:val="clear" w:color="auto" w:fill="auto"/>
          </w:tcPr>
          <w:p w14:paraId="36109D14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Lote</w:t>
            </w:r>
          </w:p>
        </w:tc>
        <w:tc>
          <w:tcPr>
            <w:tcW w:w="668" w:type="dxa"/>
            <w:shd w:val="clear" w:color="auto" w:fill="auto"/>
          </w:tcPr>
          <w:p w14:paraId="3666D930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Item</w:t>
            </w:r>
          </w:p>
        </w:tc>
        <w:tc>
          <w:tcPr>
            <w:tcW w:w="811" w:type="dxa"/>
            <w:shd w:val="clear" w:color="auto" w:fill="auto"/>
          </w:tcPr>
          <w:p w14:paraId="22A6E6DF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Quant.</w:t>
            </w:r>
          </w:p>
        </w:tc>
        <w:tc>
          <w:tcPr>
            <w:tcW w:w="689" w:type="dxa"/>
            <w:shd w:val="clear" w:color="auto" w:fill="auto"/>
          </w:tcPr>
          <w:p w14:paraId="77F3CA15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Unid.</w:t>
            </w:r>
          </w:p>
        </w:tc>
        <w:tc>
          <w:tcPr>
            <w:tcW w:w="4457" w:type="dxa"/>
            <w:shd w:val="clear" w:color="auto" w:fill="auto"/>
          </w:tcPr>
          <w:p w14:paraId="5E9C75FF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Especificação</w:t>
            </w:r>
          </w:p>
        </w:tc>
        <w:tc>
          <w:tcPr>
            <w:tcW w:w="1559" w:type="dxa"/>
            <w:shd w:val="clear" w:color="auto" w:fill="auto"/>
          </w:tcPr>
          <w:p w14:paraId="3367A6E8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Valor Unitário</w:t>
            </w:r>
          </w:p>
        </w:tc>
        <w:tc>
          <w:tcPr>
            <w:tcW w:w="1701" w:type="dxa"/>
            <w:shd w:val="clear" w:color="auto" w:fill="auto"/>
          </w:tcPr>
          <w:p w14:paraId="2A7AE202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Valor Total</w:t>
            </w:r>
          </w:p>
        </w:tc>
      </w:tr>
      <w:tr w:rsidR="006262F5" w:rsidRPr="006262F5" w14:paraId="230233A2" w14:textId="77777777" w:rsidTr="006262F5">
        <w:tc>
          <w:tcPr>
            <w:tcW w:w="605" w:type="dxa"/>
            <w:shd w:val="clear" w:color="auto" w:fill="auto"/>
          </w:tcPr>
          <w:p w14:paraId="0FA9FCFA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14:paraId="075AC4D6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14:paraId="403DFA31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auto"/>
          </w:tcPr>
          <w:p w14:paraId="24B40956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Unid.</w:t>
            </w:r>
          </w:p>
        </w:tc>
        <w:tc>
          <w:tcPr>
            <w:tcW w:w="4457" w:type="dxa"/>
            <w:shd w:val="clear" w:color="auto" w:fill="auto"/>
          </w:tcPr>
          <w:p w14:paraId="29D6F26C" w14:textId="77777777" w:rsidR="006262F5" w:rsidRPr="006262F5" w:rsidRDefault="006262F5" w:rsidP="004D6187">
            <w:pPr>
              <w:overflowPunct/>
              <w:spacing w:after="0"/>
              <w:ind w:left="-1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>PRESTAÇÃO DE SERVIÇOS - Contratação de empresa especializada para construção de 50 (cinquenta) moradias.</w:t>
            </w:r>
          </w:p>
        </w:tc>
        <w:tc>
          <w:tcPr>
            <w:tcW w:w="1559" w:type="dxa"/>
            <w:shd w:val="clear" w:color="auto" w:fill="auto"/>
          </w:tcPr>
          <w:p w14:paraId="361EEC55" w14:textId="77777777" w:rsidR="006262F5" w:rsidRPr="006262F5" w:rsidRDefault="006262F5" w:rsidP="004D6187">
            <w:pPr>
              <w:overflowPunct/>
              <w:spacing w:after="0"/>
              <w:jc w:val="center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20"/>
                <w:szCs w:val="20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 xml:space="preserve">R$ </w:t>
            </w:r>
            <w:r w:rsidRPr="006262F5">
              <w:rPr>
                <w:b/>
                <w:bCs/>
                <w:sz w:val="20"/>
                <w:szCs w:val="20"/>
              </w:rPr>
              <w:t>7.170.870,46</w:t>
            </w:r>
          </w:p>
        </w:tc>
        <w:tc>
          <w:tcPr>
            <w:tcW w:w="1701" w:type="dxa"/>
            <w:shd w:val="clear" w:color="auto" w:fill="auto"/>
          </w:tcPr>
          <w:p w14:paraId="5B5D3D36" w14:textId="77777777" w:rsidR="006262F5" w:rsidRPr="006262F5" w:rsidRDefault="006262F5" w:rsidP="004D6187">
            <w:pPr>
              <w:overflowPunct/>
              <w:spacing w:after="0"/>
              <w:jc w:val="center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  <w:sz w:val="16"/>
                <w:szCs w:val="16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 xml:space="preserve">R$ </w:t>
            </w:r>
            <w:r w:rsidRPr="006262F5">
              <w:rPr>
                <w:b/>
                <w:bCs/>
                <w:sz w:val="20"/>
                <w:szCs w:val="20"/>
              </w:rPr>
              <w:t>7.170.870,46</w:t>
            </w:r>
          </w:p>
        </w:tc>
      </w:tr>
      <w:tr w:rsidR="006262F5" w:rsidRPr="006262F5" w14:paraId="487B6C04" w14:textId="77777777" w:rsidTr="006262F5">
        <w:tc>
          <w:tcPr>
            <w:tcW w:w="8789" w:type="dxa"/>
            <w:gridSpan w:val="6"/>
            <w:shd w:val="clear" w:color="auto" w:fill="auto"/>
          </w:tcPr>
          <w:p w14:paraId="2683A0B9" w14:textId="77777777" w:rsidR="006262F5" w:rsidRPr="006262F5" w:rsidRDefault="006262F5" w:rsidP="004D6187">
            <w:pPr>
              <w:overflowPunct/>
              <w:spacing w:after="0"/>
              <w:jc w:val="right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</w:rPr>
            </w:pPr>
            <w:r w:rsidRPr="006262F5">
              <w:rPr>
                <w:rFonts w:eastAsia="Merriweather"/>
                <w:b/>
                <w:bCs/>
                <w:position w:val="-1"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22B9AF01" w14:textId="77777777" w:rsidR="006262F5" w:rsidRPr="006262F5" w:rsidRDefault="006262F5" w:rsidP="004D6187">
            <w:pPr>
              <w:overflowPunct/>
              <w:spacing w:after="0"/>
              <w:jc w:val="both"/>
              <w:textDirection w:val="btLr"/>
              <w:textAlignment w:val="top"/>
              <w:outlineLvl w:val="0"/>
              <w:rPr>
                <w:rFonts w:eastAsia="Merriweather"/>
                <w:b/>
                <w:bCs/>
                <w:position w:val="-1"/>
              </w:rPr>
            </w:pPr>
            <w:r w:rsidRPr="006262F5">
              <w:rPr>
                <w:rFonts w:eastAsia="Merriweather"/>
                <w:b/>
                <w:bCs/>
                <w:position w:val="-1"/>
                <w:sz w:val="20"/>
                <w:szCs w:val="20"/>
              </w:rPr>
              <w:t xml:space="preserve">R$ </w:t>
            </w:r>
            <w:r w:rsidRPr="006262F5">
              <w:rPr>
                <w:b/>
                <w:bCs/>
                <w:sz w:val="20"/>
                <w:szCs w:val="20"/>
              </w:rPr>
              <w:t>7.170.870,46</w:t>
            </w:r>
          </w:p>
        </w:tc>
      </w:tr>
    </w:tbl>
    <w:p w14:paraId="41EBA733" w14:textId="77777777" w:rsidR="006262F5" w:rsidRPr="006262F5" w:rsidRDefault="006262F5" w:rsidP="004D6187">
      <w:pPr>
        <w:overflowPunct/>
        <w:spacing w:after="0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Merriweather" w:hAnsi="Times New Roman"/>
          <w:b/>
          <w:bCs/>
          <w:position w:val="-1"/>
          <w:sz w:val="24"/>
          <w:szCs w:val="24"/>
        </w:rPr>
      </w:pPr>
      <w:r w:rsidRPr="006262F5">
        <w:rPr>
          <w:rFonts w:ascii="Times New Roman" w:eastAsia="Merriweather" w:hAnsi="Times New Roman"/>
          <w:b/>
          <w:bCs/>
          <w:position w:val="-1"/>
          <w:sz w:val="24"/>
          <w:szCs w:val="24"/>
        </w:rPr>
        <w:t xml:space="preserve"> </w:t>
      </w:r>
    </w:p>
    <w:p w14:paraId="087A2FE4" w14:textId="1D0977F8" w:rsidR="006262F5" w:rsidRPr="006262F5" w:rsidRDefault="006262F5" w:rsidP="004D6187">
      <w:pPr>
        <w:overflowPunct/>
        <w:spacing w:after="0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</w:rPr>
      </w:pPr>
      <w:r w:rsidRPr="006262F5">
        <w:rPr>
          <w:rFonts w:ascii="Times New Roman" w:eastAsia="Merriweather" w:hAnsi="Times New Roman"/>
          <w:position w:val="-1"/>
          <w:sz w:val="24"/>
          <w:szCs w:val="24"/>
        </w:rPr>
        <w:t xml:space="preserve">a) O valor estimado total da contratação é de </w:t>
      </w:r>
      <w:r w:rsidRPr="006262F5">
        <w:rPr>
          <w:rFonts w:ascii="Times New Roman" w:eastAsia="Merriweather" w:hAnsi="Times New Roman"/>
          <w:b/>
          <w:bCs/>
          <w:position w:val="-1"/>
          <w:sz w:val="24"/>
          <w:szCs w:val="24"/>
        </w:rPr>
        <w:t>R$ 7.170.870,46 (Sete milhões, cento e setenta mil, oitocentos e setenta reais e quarenta e seis centavos)</w:t>
      </w:r>
      <w:r w:rsidRPr="006262F5">
        <w:rPr>
          <w:rFonts w:ascii="Times New Roman" w:eastAsia="Merriweather" w:hAnsi="Times New Roman"/>
          <w:position w:val="-1"/>
          <w:sz w:val="24"/>
          <w:szCs w:val="24"/>
        </w:rPr>
        <w:t>, conforme custos unitários apostos na tabela acima, e a planilha de Orçamento da obra aprovada pela Engenharia da Caixa Econômica Federal [em anexo].</w:t>
      </w:r>
    </w:p>
    <w:p w14:paraId="528BE191" w14:textId="1411463E" w:rsidR="006262F5" w:rsidRPr="006262F5" w:rsidRDefault="006262F5" w:rsidP="004D6187">
      <w:pPr>
        <w:overflowPunct/>
        <w:spacing w:after="0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</w:rPr>
      </w:pPr>
      <w:r w:rsidRPr="006262F5">
        <w:rPr>
          <w:rFonts w:ascii="Times New Roman" w:eastAsia="Merriweather" w:hAnsi="Times New Roman"/>
          <w:position w:val="-1"/>
          <w:sz w:val="24"/>
          <w:szCs w:val="24"/>
        </w:rPr>
        <w:t>b) O valor estimado contempla BDI calculado conforme parâmetros técnicos adotados pelo Município e conforme o acórdão 2622/2013 do TCU, e validados pela CAIXA, nos Termos do Decreto Municipal nº 3.537/2023 e da Lei 14,133/2021. A planilha de composição do BDI ficará anexa ao Edital.</w:t>
      </w:r>
    </w:p>
    <w:p w14:paraId="5B596A2A" w14:textId="59BB9311" w:rsidR="006262F5" w:rsidRPr="006262F5" w:rsidRDefault="006262F5" w:rsidP="004D6187">
      <w:pPr>
        <w:overflowPunct/>
        <w:spacing w:after="0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</w:rPr>
      </w:pPr>
      <w:r w:rsidRPr="006262F5">
        <w:rPr>
          <w:rFonts w:ascii="Times New Roman" w:eastAsia="Merriweather" w:hAnsi="Times New Roman"/>
          <w:position w:val="-1"/>
          <w:sz w:val="24"/>
          <w:szCs w:val="24"/>
        </w:rPr>
        <w:lastRenderedPageBreak/>
        <w:t>c) Os valores de referência da Planilha de Orçamento da obra estão baseados na Tabela SINAPI, conforme a Lei 14.133/2021, Art.2</w:t>
      </w:r>
    </w:p>
    <w:p w14:paraId="3A058FF1" w14:textId="77777777" w:rsidR="00693DC4" w:rsidRDefault="00693DC4" w:rsidP="004D61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4A93839" w14:textId="3492D827" w:rsidR="001A71A3" w:rsidRPr="006262F5" w:rsidRDefault="008F0158" w:rsidP="004D6187">
      <w:pPr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b/>
          <w:sz w:val="24"/>
          <w:szCs w:val="24"/>
        </w:rPr>
        <w:t>V. Memória de cálculo do valor estimado e documentos que lhe dão suporte:</w:t>
      </w:r>
    </w:p>
    <w:p w14:paraId="5E41B50A" w14:textId="77777777" w:rsidR="001A71A3" w:rsidRPr="006262F5" w:rsidRDefault="008F0158" w:rsidP="004D6187">
      <w:pPr>
        <w:pStyle w:val="Corpodetexto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sz w:val="24"/>
          <w:szCs w:val="24"/>
        </w:rPr>
        <w:t>Em suporte à presente análise, seguem anexos:</w:t>
      </w:r>
    </w:p>
    <w:p w14:paraId="19CB1DD9" w14:textId="2E1816B2" w:rsidR="001A71A3" w:rsidRPr="00693DC4" w:rsidRDefault="008F0158" w:rsidP="004D6187">
      <w:pPr>
        <w:pStyle w:val="Corpodetexto"/>
        <w:numPr>
          <w:ilvl w:val="0"/>
          <w:numId w:val="2"/>
        </w:numPr>
        <w:tabs>
          <w:tab w:val="clear" w:pos="709"/>
          <w:tab w:val="left" w:pos="0"/>
        </w:tabs>
        <w:jc w:val="both"/>
        <w:rPr>
          <w:rStyle w:val="Forte"/>
          <w:rFonts w:ascii="Times New Roman" w:hAnsi="Times New Roman"/>
          <w:b w:val="0"/>
        </w:rPr>
      </w:pPr>
      <w:r w:rsidRPr="006262F5">
        <w:rPr>
          <w:rStyle w:val="Forte"/>
          <w:rFonts w:ascii="Times New Roman" w:hAnsi="Times New Roman"/>
          <w:b w:val="0"/>
          <w:sz w:val="24"/>
          <w:szCs w:val="24"/>
        </w:rPr>
        <w:t xml:space="preserve">Planilha </w:t>
      </w:r>
      <w:r w:rsidR="00693DC4">
        <w:rPr>
          <w:rStyle w:val="Forte"/>
          <w:rFonts w:ascii="Times New Roman" w:hAnsi="Times New Roman"/>
          <w:b w:val="0"/>
          <w:sz w:val="24"/>
          <w:szCs w:val="24"/>
        </w:rPr>
        <w:t>de Orçamento aprovado pela Caixa; (Anexo ao TR)</w:t>
      </w:r>
    </w:p>
    <w:p w14:paraId="0E84B94A" w14:textId="122703CD" w:rsidR="00693DC4" w:rsidRPr="00693DC4" w:rsidRDefault="00693DC4" w:rsidP="004D6187">
      <w:pPr>
        <w:pStyle w:val="Corpodetexto"/>
        <w:numPr>
          <w:ilvl w:val="0"/>
          <w:numId w:val="2"/>
        </w:numPr>
        <w:tabs>
          <w:tab w:val="clear" w:pos="709"/>
          <w:tab w:val="left" w:pos="0"/>
        </w:tabs>
        <w:jc w:val="both"/>
        <w:rPr>
          <w:rStyle w:val="Forte"/>
          <w:rFonts w:ascii="Times New Roman" w:hAnsi="Times New Roman"/>
          <w:b w:val="0"/>
        </w:rPr>
      </w:pPr>
      <w:r>
        <w:rPr>
          <w:rStyle w:val="Forte"/>
          <w:rFonts w:ascii="Times New Roman" w:hAnsi="Times New Roman"/>
          <w:b w:val="0"/>
          <w:sz w:val="24"/>
          <w:szCs w:val="24"/>
        </w:rPr>
        <w:t>BDI; (Anexo ao TR)</w:t>
      </w:r>
    </w:p>
    <w:p w14:paraId="67394C54" w14:textId="05F000B3" w:rsidR="00693DC4" w:rsidRPr="006262F5" w:rsidRDefault="00693DC4" w:rsidP="004D6187">
      <w:pPr>
        <w:pStyle w:val="Corpodetexto"/>
        <w:numPr>
          <w:ilvl w:val="0"/>
          <w:numId w:val="2"/>
        </w:numPr>
        <w:tabs>
          <w:tab w:val="clear" w:pos="709"/>
          <w:tab w:val="left" w:pos="0"/>
        </w:tabs>
        <w:jc w:val="both"/>
        <w:rPr>
          <w:rFonts w:ascii="Times New Roman" w:hAnsi="Times New Roman"/>
        </w:rPr>
      </w:pPr>
      <w:r>
        <w:rPr>
          <w:rStyle w:val="Forte"/>
          <w:rFonts w:ascii="Times New Roman" w:hAnsi="Times New Roman"/>
          <w:b w:val="0"/>
          <w:sz w:val="24"/>
          <w:szCs w:val="24"/>
        </w:rPr>
        <w:t>Composições e Cotações de serviços da SINAPI. (Anexo ao TR)</w:t>
      </w:r>
    </w:p>
    <w:p w14:paraId="17AE66C9" w14:textId="77777777" w:rsidR="001A71A3" w:rsidRPr="006262F5" w:rsidRDefault="001A71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A9D928" w14:textId="4FB8AC37" w:rsidR="001A71A3" w:rsidRPr="006262F5" w:rsidRDefault="00693DC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8F0158" w:rsidRPr="006262F5">
        <w:rPr>
          <w:rFonts w:ascii="Times New Roman" w:hAnsi="Times New Roman"/>
          <w:b/>
          <w:sz w:val="24"/>
          <w:szCs w:val="24"/>
        </w:rPr>
        <w:t>I. Informar se foram observadas as condições comerciais praticadas, incluindo prazos e locais:</w:t>
      </w:r>
    </w:p>
    <w:p w14:paraId="60C00A4D" w14:textId="47FBF6D8" w:rsidR="001A71A3" w:rsidRPr="006262F5" w:rsidRDefault="008F0158" w:rsidP="00693DC4">
      <w:pPr>
        <w:pStyle w:val="Corpodetexto"/>
        <w:spacing w:after="0"/>
        <w:jc w:val="both"/>
        <w:rPr>
          <w:rFonts w:ascii="Times New Roman" w:hAnsi="Times New Roman"/>
        </w:rPr>
      </w:pPr>
      <w:r w:rsidRPr="006262F5">
        <w:rPr>
          <w:rFonts w:ascii="Times New Roman" w:hAnsi="Times New Roman"/>
          <w:sz w:val="24"/>
          <w:szCs w:val="24"/>
        </w:rPr>
        <w:t xml:space="preserve">Foram observadas as condições comerciais usualmente praticadas pelo mercado e constantes nos orçamentos apresentados. </w:t>
      </w:r>
      <w:r w:rsidR="00693DC4" w:rsidRPr="00693DC4">
        <w:rPr>
          <w:rFonts w:ascii="Times New Roman" w:hAnsi="Times New Roman"/>
          <w:sz w:val="24"/>
          <w:szCs w:val="24"/>
        </w:rPr>
        <w:t>O contratado deve seguir fielmente o projeto arquitetônico, obedecendo ao Memorial Descritivo, cronograma fisco-financeiro</w:t>
      </w:r>
      <w:r w:rsidR="00693DC4">
        <w:rPr>
          <w:rFonts w:ascii="Times New Roman" w:hAnsi="Times New Roman"/>
          <w:sz w:val="24"/>
          <w:szCs w:val="24"/>
        </w:rPr>
        <w:t>, com prazo de 18 meses para a execução da obra</w:t>
      </w:r>
      <w:r w:rsidRPr="006262F5">
        <w:rPr>
          <w:rFonts w:ascii="Times New Roman" w:hAnsi="Times New Roman"/>
          <w:sz w:val="24"/>
          <w:szCs w:val="24"/>
        </w:rPr>
        <w:t>.</w:t>
      </w:r>
    </w:p>
    <w:p w14:paraId="42582236" w14:textId="77777777" w:rsidR="001A71A3" w:rsidRPr="006262F5" w:rsidRDefault="001A71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624E3F" w14:textId="77777777" w:rsidR="004D6187" w:rsidRDefault="004D6187" w:rsidP="004D6187">
      <w:pPr>
        <w:spacing w:after="0" w:line="360" w:lineRule="auto"/>
        <w:ind w:hanging="2"/>
        <w:jc w:val="right"/>
        <w:rPr>
          <w:rFonts w:ascii="Times New Roman" w:hAnsi="Times New Roman"/>
          <w:sz w:val="24"/>
          <w:szCs w:val="24"/>
        </w:rPr>
      </w:pPr>
    </w:p>
    <w:p w14:paraId="4A253D38" w14:textId="0170D32E" w:rsidR="001A71A3" w:rsidRPr="006262F5" w:rsidRDefault="008F0158" w:rsidP="004D6187">
      <w:pPr>
        <w:spacing w:after="0" w:line="360" w:lineRule="auto"/>
        <w:ind w:hanging="2"/>
        <w:jc w:val="right"/>
        <w:rPr>
          <w:rFonts w:ascii="Times New Roman" w:hAnsi="Times New Roman"/>
        </w:rPr>
      </w:pPr>
      <w:r w:rsidRPr="006262F5">
        <w:rPr>
          <w:rFonts w:ascii="Times New Roman" w:hAnsi="Times New Roman"/>
          <w:sz w:val="24"/>
          <w:szCs w:val="24"/>
        </w:rPr>
        <w:t xml:space="preserve">Bandeirantes, </w:t>
      </w:r>
      <w:r w:rsidR="00184794" w:rsidRPr="006262F5">
        <w:rPr>
          <w:rFonts w:ascii="Times New Roman" w:hAnsi="Times New Roman"/>
          <w:sz w:val="24"/>
          <w:szCs w:val="24"/>
        </w:rPr>
        <w:t>16</w:t>
      </w:r>
      <w:r w:rsidRPr="006262F5">
        <w:rPr>
          <w:rFonts w:ascii="Times New Roman" w:hAnsi="Times New Roman"/>
          <w:sz w:val="24"/>
          <w:szCs w:val="24"/>
        </w:rPr>
        <w:t xml:space="preserve"> de </w:t>
      </w:r>
      <w:r w:rsidR="00184794" w:rsidRPr="006262F5">
        <w:rPr>
          <w:rFonts w:ascii="Times New Roman" w:hAnsi="Times New Roman"/>
          <w:sz w:val="24"/>
          <w:szCs w:val="24"/>
        </w:rPr>
        <w:t>dez</w:t>
      </w:r>
      <w:r w:rsidRPr="006262F5">
        <w:rPr>
          <w:rFonts w:ascii="Times New Roman" w:hAnsi="Times New Roman"/>
          <w:sz w:val="24"/>
          <w:szCs w:val="24"/>
        </w:rPr>
        <w:t>embro de 2025</w:t>
      </w:r>
    </w:p>
    <w:p w14:paraId="11AA71C0" w14:textId="77777777" w:rsidR="001A71A3" w:rsidRPr="006262F5" w:rsidRDefault="001A71A3">
      <w:pPr>
        <w:spacing w:after="0" w:line="360" w:lineRule="auto"/>
        <w:ind w:hanging="2"/>
        <w:jc w:val="both"/>
        <w:rPr>
          <w:rFonts w:ascii="Times New Roman" w:hAnsi="Times New Roman"/>
        </w:rPr>
      </w:pPr>
    </w:p>
    <w:p w14:paraId="40043E54" w14:textId="77777777" w:rsidR="00693DC4" w:rsidRPr="00693DC4" w:rsidRDefault="00693DC4" w:rsidP="00693DC4">
      <w:pPr>
        <w:spacing w:after="0" w:line="360" w:lineRule="auto"/>
        <w:ind w:hanging="2"/>
        <w:jc w:val="both"/>
        <w:rPr>
          <w:rFonts w:ascii="Times New Roman" w:hAnsi="Times New Roman"/>
          <w:sz w:val="28"/>
          <w:szCs w:val="28"/>
        </w:rPr>
      </w:pPr>
    </w:p>
    <w:p w14:paraId="7DD7E651" w14:textId="77777777" w:rsidR="00693DC4" w:rsidRPr="004D6187" w:rsidRDefault="00693DC4" w:rsidP="00693DC4">
      <w:pPr>
        <w:widowControl w:val="0"/>
        <w:spacing w:after="0"/>
        <w:ind w:hanging="2"/>
        <w:jc w:val="center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sz w:val="24"/>
          <w:szCs w:val="24"/>
        </w:rPr>
        <w:t>____________________________</w:t>
      </w:r>
    </w:p>
    <w:p w14:paraId="5EABAE68" w14:textId="77777777" w:rsidR="00693DC4" w:rsidRPr="004D6187" w:rsidRDefault="00693DC4" w:rsidP="00693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b/>
          <w:bCs/>
          <w:sz w:val="24"/>
          <w:szCs w:val="24"/>
        </w:rPr>
        <w:t>WAGNER TOMA</w:t>
      </w:r>
    </w:p>
    <w:p w14:paraId="7B4EA4B8" w14:textId="1542F3EE" w:rsidR="00693DC4" w:rsidRPr="004D6187" w:rsidRDefault="00693DC4" w:rsidP="00693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187">
        <w:rPr>
          <w:rFonts w:ascii="Times New Roman" w:hAnsi="Times New Roman"/>
          <w:b/>
          <w:bCs/>
          <w:sz w:val="24"/>
          <w:szCs w:val="24"/>
        </w:rPr>
        <w:t>Secretário de Política Habitacional</w:t>
      </w:r>
    </w:p>
    <w:p w14:paraId="52DA9583" w14:textId="77777777" w:rsidR="001A71A3" w:rsidRPr="006262F5" w:rsidRDefault="001A71A3">
      <w:pPr>
        <w:spacing w:after="0" w:line="360" w:lineRule="auto"/>
        <w:ind w:hanging="2"/>
        <w:jc w:val="both"/>
        <w:rPr>
          <w:rFonts w:ascii="Times New Roman" w:hAnsi="Times New Roman"/>
        </w:rPr>
      </w:pPr>
    </w:p>
    <w:p w14:paraId="7E1F8565" w14:textId="77777777" w:rsidR="00693DC4" w:rsidRPr="00693DC4" w:rsidRDefault="00693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93DC4" w:rsidRPr="00693DC4">
      <w:headerReference w:type="even" r:id="rId14"/>
      <w:headerReference w:type="default" r:id="rId15"/>
      <w:headerReference w:type="first" r:id="rId16"/>
      <w:pgSz w:w="11906" w:h="16838"/>
      <w:pgMar w:top="1701" w:right="761" w:bottom="1134" w:left="1500" w:header="907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5E935" w14:textId="77777777" w:rsidR="00747710" w:rsidRDefault="00747710">
      <w:pPr>
        <w:spacing w:after="0" w:line="240" w:lineRule="auto"/>
      </w:pPr>
      <w:r>
        <w:separator/>
      </w:r>
    </w:p>
  </w:endnote>
  <w:endnote w:type="continuationSeparator" w:id="0">
    <w:p w14:paraId="34FEE049" w14:textId="77777777" w:rsidR="00747710" w:rsidRDefault="0074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5CF8" w14:textId="77777777" w:rsidR="00747710" w:rsidRDefault="00747710">
      <w:pPr>
        <w:spacing w:after="0" w:line="240" w:lineRule="auto"/>
      </w:pPr>
      <w:r>
        <w:separator/>
      </w:r>
    </w:p>
  </w:footnote>
  <w:footnote w:type="continuationSeparator" w:id="0">
    <w:p w14:paraId="124ABE71" w14:textId="77777777" w:rsidR="00747710" w:rsidRDefault="0074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FD2B" w14:textId="77777777" w:rsidR="001A71A3" w:rsidRDefault="001A71A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CB01F" w14:textId="77777777" w:rsidR="001A71A3" w:rsidRDefault="008F0158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9F8A62A" wp14:editId="030B7E7D">
          <wp:simplePos x="0" y="0"/>
          <wp:positionH relativeFrom="column">
            <wp:posOffset>-142240</wp:posOffset>
          </wp:positionH>
          <wp:positionV relativeFrom="paragraph">
            <wp:posOffset>-242570</wp:posOffset>
          </wp:positionV>
          <wp:extent cx="695325" cy="744220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color w:val="000000"/>
        <w:sz w:val="28"/>
        <w:szCs w:val="28"/>
      </w:rPr>
      <w:t>PREFEITURA MUNICIPAL DE BANDEIRANTES</w:t>
    </w:r>
  </w:p>
  <w:p w14:paraId="4C8D765E" w14:textId="77777777" w:rsidR="001A71A3" w:rsidRDefault="008F0158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rFonts w:ascii="Times New Roman" w:hAnsi="Times New Roman"/>
        <w:b/>
        <w:color w:val="000000"/>
        <w:sz w:val="28"/>
        <w:szCs w:val="28"/>
      </w:rPr>
      <w:t xml:space="preserve">ESTADO DO </w:t>
    </w:r>
    <w:r>
      <w:rPr>
        <w:rFonts w:ascii="Times New Roman" w:hAnsi="Times New Roman"/>
        <w:b/>
        <w:sz w:val="28"/>
        <w:szCs w:val="28"/>
      </w:rPr>
      <w:t>PARANÁ</w:t>
    </w:r>
  </w:p>
  <w:p w14:paraId="6A02DD92" w14:textId="77777777" w:rsidR="001A71A3" w:rsidRDefault="001A71A3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1AC6" w14:textId="77777777" w:rsidR="001A71A3" w:rsidRDefault="008F0158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B004418" wp14:editId="04413FE4">
          <wp:simplePos x="0" y="0"/>
          <wp:positionH relativeFrom="column">
            <wp:posOffset>-142240</wp:posOffset>
          </wp:positionH>
          <wp:positionV relativeFrom="paragraph">
            <wp:posOffset>-242570</wp:posOffset>
          </wp:positionV>
          <wp:extent cx="695325" cy="744220"/>
          <wp:effectExtent l="0" t="0" r="0" b="0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color w:val="000000"/>
        <w:sz w:val="28"/>
        <w:szCs w:val="28"/>
      </w:rPr>
      <w:t>PREFEITURA MUNICIPAL DE BANDEIRANTES</w:t>
    </w:r>
  </w:p>
  <w:p w14:paraId="6AB113B7" w14:textId="77777777" w:rsidR="001A71A3" w:rsidRDefault="008F0158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/>
        <w:b/>
        <w:color w:val="000000"/>
        <w:sz w:val="28"/>
        <w:szCs w:val="28"/>
      </w:rPr>
    </w:pPr>
    <w:r>
      <w:rPr>
        <w:rFonts w:ascii="Times New Roman" w:hAnsi="Times New Roman"/>
        <w:b/>
        <w:color w:val="000000"/>
        <w:sz w:val="28"/>
        <w:szCs w:val="28"/>
      </w:rPr>
      <w:t xml:space="preserve">ESTADO DO </w:t>
    </w:r>
    <w:r>
      <w:rPr>
        <w:rFonts w:ascii="Times New Roman" w:hAnsi="Times New Roman"/>
        <w:b/>
        <w:sz w:val="28"/>
        <w:szCs w:val="28"/>
      </w:rPr>
      <w:t>PARANÁ</w:t>
    </w:r>
  </w:p>
  <w:p w14:paraId="264E4200" w14:textId="77777777" w:rsidR="001A71A3" w:rsidRDefault="001A71A3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C43"/>
    <w:multiLevelType w:val="multilevel"/>
    <w:tmpl w:val="B6AEA4F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E475FB9"/>
    <w:multiLevelType w:val="multilevel"/>
    <w:tmpl w:val="25207FF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1F275C25"/>
    <w:multiLevelType w:val="multilevel"/>
    <w:tmpl w:val="6AAE203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2A8325B6"/>
    <w:multiLevelType w:val="multilevel"/>
    <w:tmpl w:val="053647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C513E79"/>
    <w:multiLevelType w:val="multilevel"/>
    <w:tmpl w:val="CA4EC36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51AE35A6"/>
    <w:multiLevelType w:val="hybridMultilevel"/>
    <w:tmpl w:val="98B02C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75056"/>
    <w:multiLevelType w:val="hybridMultilevel"/>
    <w:tmpl w:val="C92AD5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2772"/>
    <w:multiLevelType w:val="multilevel"/>
    <w:tmpl w:val="D3F4C68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 w15:restartNumberingAfterBreak="0">
    <w:nsid w:val="7B496D98"/>
    <w:multiLevelType w:val="multilevel"/>
    <w:tmpl w:val="8208FB3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" w15:restartNumberingAfterBreak="0">
    <w:nsid w:val="7F8F5DB1"/>
    <w:multiLevelType w:val="hybridMultilevel"/>
    <w:tmpl w:val="E3223BD8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A3"/>
    <w:rsid w:val="00184794"/>
    <w:rsid w:val="001A71A3"/>
    <w:rsid w:val="00430D30"/>
    <w:rsid w:val="004D6187"/>
    <w:rsid w:val="006262F5"/>
    <w:rsid w:val="00637D0F"/>
    <w:rsid w:val="00693DC4"/>
    <w:rsid w:val="00747710"/>
    <w:rsid w:val="008F0158"/>
    <w:rsid w:val="009513EE"/>
    <w:rsid w:val="00D06728"/>
    <w:rsid w:val="00D962EE"/>
    <w:rsid w:val="00DC69DB"/>
    <w:rsid w:val="00E3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AD7D"/>
  <w15:docId w15:val="{E54083A3-AD87-4D96-872F-1208346E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200" w:line="276" w:lineRule="auto"/>
    </w:pPr>
    <w:rPr>
      <w:rFonts w:eastAsia="Times New Roman"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</w:style>
  <w:style w:type="character" w:customStyle="1" w:styleId="RodapChar">
    <w:name w:val="Rodapé Char"/>
    <w:basedOn w:val="Fontepargpadro"/>
    <w:link w:val="Rodap"/>
    <w:qFormat/>
  </w:style>
  <w:style w:type="character" w:styleId="Hyperlink">
    <w:name w:val="Hyperlink"/>
    <w:basedOn w:val="Fontepargpadro"/>
    <w:rPr>
      <w:color w:val="0000FF"/>
      <w:u w:val="single"/>
    </w:rPr>
  </w:style>
  <w:style w:type="character" w:styleId="Forte">
    <w:name w:val="Strong"/>
    <w:qFormat/>
    <w:rPr>
      <w:b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character" w:styleId="MenoPendente">
    <w:name w:val="Unresolved Mention"/>
    <w:basedOn w:val="Fontepargpadro"/>
    <w:qFormat/>
    <w:rPr>
      <w:color w:val="605E5C"/>
      <w:shd w:val="clear" w:color="auto" w:fill="E1DFDD"/>
    </w:rPr>
  </w:style>
  <w:style w:type="character" w:customStyle="1" w:styleId="TextodecomentrioChar">
    <w:name w:val="Texto de comentário Char"/>
    <w:basedOn w:val="Fontepargpadro"/>
    <w:link w:val="Textodecomentrio"/>
    <w:qFormat/>
    <w:rPr>
      <w:rFonts w:eastAsia="Times New Roman" w:cs="Times New Roman"/>
      <w:sz w:val="20"/>
      <w:szCs w:val="20"/>
    </w:rPr>
  </w:style>
  <w:style w:type="character" w:styleId="Refdecomentrio">
    <w:name w:val="annotation reference"/>
    <w:basedOn w:val="Fontepargpadro"/>
    <w:qFormat/>
    <w:rPr>
      <w:sz w:val="16"/>
      <w:szCs w:val="16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customStyle="1" w:styleId="Cabealhoerodap1">
    <w:name w:val="Cabeçalho e rodapé1"/>
    <w:basedOn w:val="Normal"/>
    <w:qFormat/>
  </w:style>
  <w:style w:type="paragraph" w:customStyle="1" w:styleId="Cabealhoerodap2">
    <w:name w:val="Cabeçalho e rodapé2"/>
    <w:basedOn w:val="Normal"/>
    <w:qFormat/>
  </w:style>
  <w:style w:type="paragraph" w:customStyle="1" w:styleId="Cabealhoerodap3">
    <w:name w:val="Cabeçalho e rodapé3"/>
    <w:basedOn w:val="Normal"/>
    <w:qFormat/>
  </w:style>
  <w:style w:type="paragraph" w:customStyle="1" w:styleId="Cabealhoerodap4">
    <w:name w:val="Cabeçalho e rodapé4"/>
    <w:basedOn w:val="Normal"/>
    <w:qFormat/>
  </w:style>
  <w:style w:type="paragraph" w:customStyle="1" w:styleId="Cabealhoerodap5">
    <w:name w:val="Cabeçalho e rodapé5"/>
    <w:basedOn w:val="Normal"/>
    <w:qFormat/>
  </w:style>
  <w:style w:type="paragraph" w:customStyle="1" w:styleId="Cabealhoerodap6">
    <w:name w:val="Cabeçalho e rodapé6"/>
    <w:basedOn w:val="Normal"/>
    <w:qFormat/>
  </w:style>
  <w:style w:type="paragraph" w:customStyle="1" w:styleId="Cabealhoerodap7">
    <w:name w:val="Cabeçalho e rodapé7"/>
    <w:basedOn w:val="Normal"/>
    <w:qFormat/>
  </w:style>
  <w:style w:type="paragraph" w:customStyle="1" w:styleId="Cabealhoerodap8">
    <w:name w:val="Cabeçalho e rodapé8"/>
    <w:basedOn w:val="Normal"/>
    <w:qFormat/>
  </w:style>
  <w:style w:type="paragraph" w:customStyle="1" w:styleId="Cabealhoerodap9">
    <w:name w:val="Cabeçalho e rodapé9"/>
    <w:basedOn w:val="Normal"/>
    <w:qFormat/>
  </w:style>
  <w:style w:type="paragraph" w:customStyle="1" w:styleId="Cabealhoerodap10">
    <w:name w:val="Cabeçalho e rodapé10"/>
    <w:basedOn w:val="Normal"/>
    <w:qFormat/>
  </w:style>
  <w:style w:type="paragraph" w:customStyle="1" w:styleId="Cabealhoerodap11">
    <w:name w:val="Cabeçalho e rodapé11"/>
    <w:basedOn w:val="Normal"/>
    <w:qFormat/>
  </w:style>
  <w:style w:type="paragraph" w:customStyle="1" w:styleId="Cabealhoerodap12">
    <w:name w:val="Cabeçalho e rodapé12"/>
    <w:basedOn w:val="Normal"/>
    <w:qFormat/>
  </w:style>
  <w:style w:type="paragraph" w:customStyle="1" w:styleId="Cabealhoerodap13">
    <w:name w:val="Cabeçalho e rodapé13"/>
    <w:basedOn w:val="Normal"/>
    <w:qFormat/>
  </w:style>
  <w:style w:type="paragraph" w:customStyle="1" w:styleId="Cabealhoerodap14">
    <w:name w:val="Cabeçalho e rodapé14"/>
    <w:basedOn w:val="Normal"/>
    <w:qFormat/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  <w:spacing w:after="0" w:line="240" w:lineRule="auto"/>
    </w:pPr>
    <w:rPr>
      <w:rFonts w:eastAsia="Calibri" w:cs="Calibri"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  <w:spacing w:after="0" w:line="240" w:lineRule="auto"/>
    </w:pPr>
    <w:rPr>
      <w:rFonts w:eastAsia="Calibri" w:cs="Calibri"/>
    </w:rPr>
  </w:style>
  <w:style w:type="paragraph" w:styleId="PargrafodaLista">
    <w:name w:val="List Paragraph"/>
    <w:basedOn w:val="Normal"/>
    <w:qFormat/>
    <w:pPr>
      <w:spacing w:after="160" w:line="259" w:lineRule="auto"/>
      <w:ind w:left="720"/>
      <w:contextualSpacing/>
    </w:pPr>
    <w:rPr>
      <w:rFonts w:eastAsia="Calibri" w:cs="Calibri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comentrio">
    <w:name w:val="annotation text"/>
    <w:basedOn w:val="Normal"/>
    <w:link w:val="TextodecomentrioChar"/>
    <w:pPr>
      <w:spacing w:line="240" w:lineRule="auto"/>
    </w:pPr>
    <w:rPr>
      <w:sz w:val="20"/>
      <w:szCs w:val="20"/>
    </w:rPr>
  </w:style>
  <w:style w:type="paragraph" w:customStyle="1" w:styleId="Default">
    <w:name w:val="Default"/>
    <w:qFormat/>
    <w:rPr>
      <w:rFonts w:ascii="Century Gothic" w:hAnsi="Century Gothic"/>
      <w:color w:val="000000"/>
      <w:sz w:val="24"/>
    </w:rPr>
  </w:style>
  <w:style w:type="table" w:styleId="Tabelacomgrade">
    <w:name w:val="Table Grid"/>
    <w:basedOn w:val="Tabelanormal"/>
    <w:uiPriority w:val="39"/>
    <w:rsid w:val="006262F5"/>
    <w:pPr>
      <w:suppressAutoHyphens w:val="0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c.carra@brturbo.com.br" TargetMode="External"/><Relationship Id="rId13" Type="http://schemas.openxmlformats.org/officeDocument/2006/relationships/hyperlink" Target="mailto:padovani@grupopadovani.com.b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ncp.gov.br/?utm_source=chatgpt.com" TargetMode="External"/><Relationship Id="rId12" Type="http://schemas.openxmlformats.org/officeDocument/2006/relationships/hyperlink" Target="mailto:josianemanfio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cia_ronqui@hotmai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construtoracimentec@uol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strutoragodoi@hotmail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1543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</vt:lpstr>
    </vt:vector>
  </TitlesOfParts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</dc:title>
  <dc:subject/>
  <dc:creator>User</dc:creator>
  <dc:description/>
  <cp:lastModifiedBy>User</cp:lastModifiedBy>
  <cp:revision>5</cp:revision>
  <cp:lastPrinted>2025-09-05T10:09:00Z</cp:lastPrinted>
  <dcterms:created xsi:type="dcterms:W3CDTF">2025-12-16T12:02:00Z</dcterms:created>
  <dcterms:modified xsi:type="dcterms:W3CDTF">2025-12-16T16:39:00Z</dcterms:modified>
  <dc:language>pt-BR</dc:language>
</cp:coreProperties>
</file>